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ПРОЕКТ</w:t>
      </w:r>
    </w:p>
    <w:p w14:paraId="02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07"/>
      </w:tblGrid>
      <w:tr>
        <w:tc>
          <w:tcPr>
            <w:tcW w:type="dxa" w:w="9107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14:paraId="04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8"/>
              </w:rPr>
              <w:t>Волгоградской области</w:t>
            </w:r>
          </w:p>
        </w:tc>
      </w:tr>
      <w:tr>
        <w:tc>
          <w:tcPr>
            <w:tcW w:type="dxa" w:w="9107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6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7000000">
      <w:pPr>
        <w:spacing w:after="0" w:line="240" w:lineRule="auto"/>
        <w:ind w:right="249"/>
        <w:rPr>
          <w:rFonts w:ascii="Times New Roman" w:hAnsi="Times New Roman"/>
        </w:rPr>
      </w:pPr>
    </w:p>
    <w:p w14:paraId="08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9000000">
      <w:pPr>
        <w:pStyle w:val="Style_2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A000000">
      <w:pPr>
        <w:pStyle w:val="Style_2"/>
        <w:ind w:right="249"/>
        <w:jc w:val="center"/>
        <w:rPr>
          <w:b w:val="1"/>
          <w:sz w:val="24"/>
        </w:rPr>
      </w:pPr>
    </w:p>
    <w:p w14:paraId="0B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_________ 2026г.                      </w:t>
      </w:r>
      <w:r>
        <w:rPr>
          <w:rFonts w:ascii="Times New Roman" w:hAnsi="Times New Roman"/>
          <w:b w:val="1"/>
          <w:sz w:val="24"/>
        </w:rPr>
        <w:t>№ ____</w:t>
      </w:r>
    </w:p>
    <w:p w14:paraId="0C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</w:p>
    <w:p w14:paraId="0D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 утверждении программы профилактики рисков </w:t>
      </w:r>
    </w:p>
    <w:p w14:paraId="0F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причинения вреда (ущерба) охраняемым законом </w:t>
      </w:r>
    </w:p>
    <w:p w14:paraId="10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ценностям по </w:t>
      </w:r>
      <w:r>
        <w:rPr>
          <w:rFonts w:ascii="Times New Roman" w:hAnsi="Times New Roman"/>
          <w:b w:val="0"/>
          <w:color w:val="000000"/>
          <w:sz w:val="24"/>
        </w:rPr>
        <w:t xml:space="preserve">муниципальному </w:t>
      </w:r>
      <w:r>
        <w:rPr>
          <w:rFonts w:ascii="Times New Roman" w:hAnsi="Times New Roman"/>
          <w:b w:val="0"/>
          <w:sz w:val="24"/>
        </w:rPr>
        <w:t xml:space="preserve">жилищному контролю </w:t>
      </w:r>
    </w:p>
    <w:p w14:paraId="11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территории </w:t>
      </w:r>
      <w:r>
        <w:rPr>
          <w:rFonts w:ascii="Times New Roman" w:hAnsi="Times New Roman"/>
          <w:b w:val="0"/>
          <w:sz w:val="24"/>
        </w:rPr>
        <w:t>Лобакинского</w:t>
      </w:r>
      <w:r>
        <w:rPr>
          <w:rFonts w:ascii="Times New Roman" w:hAnsi="Times New Roman"/>
          <w:b w:val="0"/>
          <w:sz w:val="24"/>
        </w:rPr>
        <w:t xml:space="preserve"> сельского поселения </w:t>
      </w:r>
    </w:p>
    <w:p w14:paraId="12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Суровикинского </w:t>
      </w:r>
      <w:r>
        <w:rPr>
          <w:rFonts w:ascii="Times New Roman" w:hAnsi="Times New Roman"/>
          <w:b w:val="0"/>
          <w:sz w:val="24"/>
        </w:rPr>
        <w:t>м</w:t>
      </w:r>
      <w:r>
        <w:rPr>
          <w:rFonts w:ascii="Times New Roman" w:hAnsi="Times New Roman"/>
          <w:b w:val="0"/>
          <w:sz w:val="24"/>
        </w:rPr>
        <w:t xml:space="preserve">униципального района </w:t>
      </w:r>
    </w:p>
    <w:p w14:paraId="13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4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6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</w:t>
      </w:r>
      <w:r>
        <w:rPr>
          <w:rFonts w:ascii="Times New Roman" w:hAnsi="Times New Roman"/>
          <w:sz w:val="24"/>
        </w:rPr>
        <w:t>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b w:val="1"/>
          <w:sz w:val="24"/>
        </w:rPr>
        <w:t xml:space="preserve"> постановляет:</w:t>
      </w:r>
    </w:p>
    <w:p w14:paraId="17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жилищному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на территории Лобакинского сельского поселения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.</w:t>
      </w:r>
    </w:p>
    <w:p w14:paraId="19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Настоящее постановление </w:t>
      </w:r>
      <w:r>
        <w:rPr>
          <w:rFonts w:ascii="Times New Roman" w:hAnsi="Times New Roman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222222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222222"/>
          <w:sz w:val="24"/>
        </w:rPr>
        <w:t>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 </w:t>
      </w:r>
      <w:r>
        <w:rPr>
          <w:rFonts w:ascii="Times New Roman" w:hAnsi="Times New Roman"/>
          <w:sz w:val="24"/>
        </w:rPr>
        <w:t>Контроль за выполнением настоящего постановления оставляю за собой.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Настоящее постановление вс</w:t>
      </w:r>
      <w:r>
        <w:rPr>
          <w:rFonts w:ascii="Times New Roman" w:hAnsi="Times New Roman"/>
          <w:sz w:val="24"/>
        </w:rPr>
        <w:t>тупает в силу с 1 января 2026</w:t>
      </w:r>
      <w:r>
        <w:rPr>
          <w:rFonts w:ascii="Times New Roman" w:hAnsi="Times New Roman"/>
          <w:sz w:val="24"/>
        </w:rPr>
        <w:t xml:space="preserve"> г. 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 xml:space="preserve">Лобакинского </w:t>
      </w:r>
      <w:r>
        <w:rPr>
          <w:rFonts w:ascii="Times New Roman" w:hAnsi="Times New Roman"/>
          <w:sz w:val="24"/>
        </w:rPr>
        <w:t xml:space="preserve">сельского поселения                                                     </w:t>
      </w:r>
    </w:p>
    <w:p w14:paraId="20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Суровикинского муниципального района</w:t>
      </w:r>
    </w:p>
    <w:p w14:paraId="21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Волгоградской области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</w:t>
      </w:r>
      <w:r>
        <w:rPr>
          <w:rFonts w:ascii="Times New Roman" w:hAnsi="Times New Roman"/>
          <w:color w:val="000000"/>
          <w:sz w:val="24"/>
        </w:rPr>
        <w:t>А.Г. Хасиев</w:t>
      </w:r>
    </w:p>
    <w:p w14:paraId="22000000">
      <w:pPr>
        <w:pStyle w:val="Style_2"/>
        <w:rPr>
          <w:rFonts w:ascii="Times New Roman" w:hAnsi="Times New Roman"/>
          <w:color w:val="FF0000"/>
          <w:sz w:val="24"/>
        </w:rPr>
      </w:pPr>
    </w:p>
    <w:p w14:paraId="23000000">
      <w:pPr>
        <w:ind/>
        <w:jc w:val="right"/>
        <w:rPr>
          <w:rFonts w:ascii="Times New Roman" w:hAnsi="Times New Roman"/>
          <w:sz w:val="24"/>
        </w:rPr>
      </w:pPr>
    </w:p>
    <w:p w14:paraId="24000000">
      <w:pPr>
        <w:ind/>
        <w:jc w:val="right"/>
        <w:rPr>
          <w:rFonts w:ascii="Times New Roman" w:hAnsi="Times New Roman"/>
          <w:sz w:val="24"/>
        </w:rPr>
      </w:pPr>
    </w:p>
    <w:p w14:paraId="25000000">
      <w:pPr>
        <w:ind/>
        <w:jc w:val="right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righ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 w14:paraId="27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14:paraId="28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</w:t>
      </w:r>
    </w:p>
    <w:p w14:paraId="29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Суровикинского муниципального  района </w:t>
      </w:r>
    </w:p>
    <w:p w14:paraId="2A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__.__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 №</w:t>
      </w:r>
      <w:r>
        <w:rPr>
          <w:rFonts w:ascii="Times New Roman" w:hAnsi="Times New Roman"/>
          <w:sz w:val="24"/>
        </w:rPr>
        <w:t xml:space="preserve"> __</w:t>
      </w:r>
    </w:p>
    <w:p w14:paraId="2B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C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ПРОГРАММА </w:t>
      </w:r>
    </w:p>
    <w:p w14:paraId="2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профилактики рисков причинения вреда (ущерба) охраняемым законом </w:t>
      </w:r>
    </w:p>
    <w:p w14:paraId="2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ценностям по </w:t>
      </w:r>
      <w:r>
        <w:rPr>
          <w:rFonts w:ascii="Times New Roman" w:hAnsi="Times New Roman"/>
          <w:b w:val="1"/>
          <w:color w:val="000000"/>
          <w:sz w:val="24"/>
        </w:rPr>
        <w:t xml:space="preserve">муниципальному </w:t>
      </w:r>
      <w:r>
        <w:rPr>
          <w:rFonts w:ascii="Times New Roman" w:hAnsi="Times New Roman"/>
          <w:b w:val="1"/>
          <w:sz w:val="24"/>
        </w:rPr>
        <w:t xml:space="preserve">жилищному контролю на территории </w:t>
      </w:r>
    </w:p>
    <w:p w14:paraId="3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Лобакинского</w:t>
      </w:r>
      <w:r>
        <w:rPr>
          <w:rFonts w:ascii="Times New Roman" w:hAnsi="Times New Roman"/>
          <w:b w:val="1"/>
          <w:sz w:val="24"/>
        </w:rPr>
        <w:t xml:space="preserve"> сельского поселения Суровикинского </w:t>
      </w:r>
      <w:r>
        <w:rPr>
          <w:rFonts w:ascii="Times New Roman" w:hAnsi="Times New Roman"/>
          <w:b w:val="1"/>
          <w:sz w:val="24"/>
        </w:rPr>
        <w:t xml:space="preserve">муниципального </w:t>
      </w:r>
    </w:p>
    <w:p w14:paraId="3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района Волгоградск</w:t>
      </w:r>
      <w:r>
        <w:rPr>
          <w:rFonts w:ascii="Times New Roman" w:hAnsi="Times New Roman"/>
          <w:b w:val="1"/>
          <w:sz w:val="24"/>
        </w:rPr>
        <w:t>ой област</w:t>
      </w:r>
      <w:r>
        <w:rPr>
          <w:rFonts w:ascii="Times New Roman" w:hAnsi="Times New Roman"/>
          <w:b w:val="1"/>
          <w:sz w:val="24"/>
        </w:rPr>
        <w:t xml:space="preserve">и на 2026 </w:t>
      </w:r>
      <w:r>
        <w:rPr>
          <w:rFonts w:ascii="Times New Roman" w:hAnsi="Times New Roman"/>
          <w:b w:val="1"/>
          <w:sz w:val="24"/>
        </w:rPr>
        <w:t>год</w:t>
      </w:r>
    </w:p>
    <w:p w14:paraId="32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3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34000000">
      <w:pPr>
        <w:spacing w:after="0" w:line="240" w:lineRule="auto"/>
        <w:ind w:firstLine="0" w:left="720"/>
        <w:rPr>
          <w:rFonts w:ascii="Times New Roman" w:hAnsi="Times New Roman"/>
          <w:sz w:val="24"/>
        </w:rPr>
      </w:pP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sz w:val="24"/>
        </w:rPr>
        <w:t xml:space="preserve">охраняемым законом </w:t>
      </w:r>
      <w:r>
        <w:rPr>
          <w:rFonts w:ascii="Times New Roman" w:hAnsi="Times New Roman"/>
          <w:sz w:val="24"/>
        </w:rPr>
        <w:t>ценностям по муниципальному жилищному контролю на территории Лобакинского сельского поселения Суровикинского муниципального района Волгоградско</w:t>
      </w:r>
      <w:r>
        <w:rPr>
          <w:rFonts w:ascii="Times New Roman" w:hAnsi="Times New Roman"/>
          <w:sz w:val="24"/>
        </w:rPr>
        <w:t>й области на 2026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sz w:val="24"/>
        </w:rPr>
        <w:t>ля организации проведения в 2026</w:t>
      </w:r>
      <w:r>
        <w:rPr>
          <w:rFonts w:ascii="Times New Roman" w:hAnsi="Times New Roman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Лобакинского сельского поселения</w:t>
      </w:r>
      <w:r>
        <w:rPr>
          <w:rFonts w:ascii="Times New Roman" w:hAnsi="Times New Roman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Программа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рофилактики реализуется в 2026</w:t>
      </w:r>
      <w:r>
        <w:rPr>
          <w:rFonts w:ascii="Times New Roman" w:hAnsi="Times New Roman"/>
          <w:color w:val="000000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color w:val="000000"/>
          <w:sz w:val="24"/>
        </w:rPr>
        <w:t>следующих разделов: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color w:val="000000"/>
          <w:sz w:val="24"/>
        </w:rPr>
        <w:t xml:space="preserve"> (далее - аналитическая часть);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б) цели и задачи реализации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в) перечень профилактических мероприятий, сроки (периодичность) их проведения;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г) показатели ре</w:t>
      </w:r>
      <w:r>
        <w:rPr>
          <w:rStyle w:val="Style_4_ch"/>
          <w:rFonts w:ascii="Times New Roman" w:hAnsi="Times New Roman"/>
          <w:color w:val="000000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C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D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жилищный контроль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 территории 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 как продолжают действовать ограничения на проведение плановых и внеплановых проверок хозяйствующих субъектов, предусмотренные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"Об особенностях организации и осуществления государственного контроля (надзора), муниципального контроля". 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40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</w:t>
      </w:r>
      <w:r>
        <w:rPr>
          <w:rFonts w:ascii="Times New Roman" w:hAnsi="Times New Roman"/>
          <w:b w:val="1"/>
          <w:color w:val="000000"/>
          <w:sz w:val="24"/>
        </w:rPr>
        <w:t>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1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p w14:paraId="4C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4D00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4E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115"/>
        <w:gridCol w:w="2220"/>
        <w:gridCol w:w="2076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5E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5F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60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1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2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3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</w:t>
            </w:r>
          </w:p>
          <w:p w14:paraId="64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консультирование контролируемых лиц и их представителей осуществляется по вопросам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6000000">
            <w:pPr>
              <w:spacing w:after="0" w:line="240" w:lineRule="auto"/>
              <w:ind w:firstLine="0" w:left="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 02.05.2006 № 59-ФЗ «О порядке рассмотрения обращений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Федерации».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 w:firstLine="56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IV квартал 2026 г. при наличии оснований, предусмотренных законодательством 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</w:tbl>
    <w:p w14:paraId="6D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843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>
              <w:rPr>
                <w:rFonts w:ascii="Times New Roman" w:hAnsi="Times New Roman"/>
                <w:color w:val="000000"/>
                <w:sz w:val="24"/>
              </w:rPr>
              <w:t>ерального закона от 31 июля 2020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Удовлетворенность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ируемых лиц и их представителей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консультированием контрольного  органа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 от числа обратившихся</w:t>
            </w:r>
          </w:p>
        </w:tc>
      </w:tr>
    </w:tbl>
    <w:p w14:paraId="7B000000">
      <w:pPr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sectPr>
      <w:pgSz w:h="16848" w:w="11908"/>
      <w:pgMar w:bottom="850" w:footer="708" w:gutter="0" w:header="708" w:left="1701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."/>
      <w:lvlJc w:val="left"/>
      <w:pPr>
        <w:ind w:hanging="360" w:left="1356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2076"/>
      </w:pPr>
    </w:lvl>
    <w:lvl w:ilvl="2">
      <w:start w:val="1"/>
      <w:numFmt w:val="lowerRoman"/>
      <w:lvlText w:val="%3."/>
      <w:lvlJc w:val="right"/>
      <w:pPr>
        <w:ind w:hanging="180" w:left="2796"/>
      </w:pPr>
    </w:lvl>
    <w:lvl w:ilvl="3">
      <w:start w:val="1"/>
      <w:numFmt w:val="decimal"/>
      <w:lvlText w:val="%4."/>
      <w:lvlJc w:val="left"/>
      <w:pPr>
        <w:ind w:hanging="360" w:left="3516"/>
      </w:pPr>
    </w:lvl>
    <w:lvl w:ilvl="4">
      <w:start w:val="1"/>
      <w:numFmt w:val="lowerLetter"/>
      <w:lvlText w:val="%5."/>
      <w:lvlJc w:val="left"/>
      <w:pPr>
        <w:ind w:hanging="360" w:left="4236"/>
      </w:pPr>
    </w:lvl>
    <w:lvl w:ilvl="5">
      <w:start w:val="1"/>
      <w:numFmt w:val="lowerRoman"/>
      <w:lvlText w:val="%6."/>
      <w:lvlJc w:val="right"/>
      <w:pPr>
        <w:ind w:hanging="180" w:left="4956"/>
      </w:pPr>
    </w:lvl>
    <w:lvl w:ilvl="6">
      <w:start w:val="1"/>
      <w:numFmt w:val="decimal"/>
      <w:lvlText w:val="%7."/>
      <w:lvlJc w:val="left"/>
      <w:pPr>
        <w:ind w:hanging="360" w:left="5676"/>
      </w:pPr>
    </w:lvl>
    <w:lvl w:ilvl="7">
      <w:start w:val="1"/>
      <w:numFmt w:val="lowerLetter"/>
      <w:lvlText w:val="%8."/>
      <w:lvlJc w:val="left"/>
      <w:pPr>
        <w:ind w:hanging="360" w:left="6396"/>
      </w:pPr>
    </w:lvl>
    <w:lvl w:ilvl="8">
      <w:start w:val="1"/>
      <w:numFmt w:val="lowerRoman"/>
      <w:lvlText w:val="%9."/>
      <w:lvlJc w:val="right"/>
      <w:pPr>
        <w:ind w:hanging="180" w:left="7116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List Paragraph"/>
    <w:basedOn w:val="Style_5"/>
    <w:link w:val="Style_10_ch"/>
    <w:pPr>
      <w:ind w:firstLine="0" w:left="720"/>
      <w:contextualSpacing w:val="1"/>
    </w:pPr>
    <w:rPr>
      <w:rFonts w:ascii="Calibri" w:hAnsi="Calibri"/>
    </w:rPr>
  </w:style>
  <w:style w:styleId="Style_10_ch" w:type="character">
    <w:name w:val="List Paragraph"/>
    <w:basedOn w:val="Style_5_ch"/>
    <w:link w:val="Style_10"/>
    <w:rPr>
      <w:rFonts w:ascii="Calibri" w:hAnsi="Calibri"/>
    </w:rPr>
  </w:style>
  <w:style w:styleId="Style_11" w:type="paragraph">
    <w:name w:val="head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5_ch"/>
    <w:link w:val="Style_11"/>
  </w:style>
  <w:style w:styleId="Style_12" w:type="paragraph">
    <w:name w:val="heading 3"/>
    <w:basedOn w:val="Style_5"/>
    <w:link w:val="Style_12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2_ch" w:type="character">
    <w:name w:val="heading 3"/>
    <w:basedOn w:val="Style_5_ch"/>
    <w:link w:val="Style_12"/>
    <w:rPr>
      <w:rFonts w:ascii="Times New Roman" w:hAnsi="Times New Roman"/>
      <w:b w:val="1"/>
      <w:sz w:val="27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5_ch"/>
    <w:link w:val="Style_13"/>
    <w:rPr>
      <w:rFonts w:ascii="Segoe UI" w:hAnsi="Segoe UI"/>
      <w:sz w:val="18"/>
    </w:rPr>
  </w:style>
  <w:style w:styleId="Style_14" w:type="paragraph">
    <w:name w:val="Normal (Web)"/>
    <w:basedOn w:val="Style_5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5_ch"/>
    <w:link w:val="Style_14"/>
    <w:rPr>
      <w:rFonts w:ascii="Times New Roman" w:hAnsi="Times New Roman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5"/>
    <w:link w:val="Style_18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8_ch" w:type="character">
    <w:name w:val="heading 1"/>
    <w:basedOn w:val="Style_5_ch"/>
    <w:link w:val="Style_18"/>
    <w:rPr>
      <w:rFonts w:ascii="Times New Roman" w:hAnsi="Times New Roman"/>
      <w:b w:val="1"/>
      <w:sz w:val="4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Основной текст (2) + 8;5 pt"/>
    <w:link w:val="Style_24_ch"/>
    <w:rPr>
      <w:rFonts w:ascii="Times New Roman" w:hAnsi="Times New Roman"/>
      <w:color w:val="000000"/>
      <w:spacing w:val="0"/>
      <w:sz w:val="17"/>
      <w:highlight w:val="white"/>
      <w:u w:val="none"/>
    </w:rPr>
  </w:style>
  <w:style w:styleId="Style_24_ch" w:type="character">
    <w:name w:val="Основной текст (2) + 8;5 pt"/>
    <w:link w:val="Style_24"/>
    <w:rPr>
      <w:rFonts w:ascii="Times New Roman" w:hAnsi="Times New Roman"/>
      <w:color w:val="000000"/>
      <w:spacing w:val="0"/>
      <w:sz w:val="17"/>
      <w:highlight w:val="white"/>
      <w:u w:val="none"/>
    </w:rPr>
  </w:style>
  <w:style w:styleId="Style_25" w:type="paragraph">
    <w:name w:val="toc 9"/>
    <w:next w:val="Style_5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5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5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5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32" w:type="paragraph">
    <w:name w:val="heading 2"/>
    <w:basedOn w:val="Style_5"/>
    <w:link w:val="Style_32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2_ch" w:type="character">
    <w:name w:val="heading 2"/>
    <w:basedOn w:val="Style_5_ch"/>
    <w:link w:val="Style_32"/>
    <w:rPr>
      <w:rFonts w:ascii="Times New Roman" w:hAnsi="Times New Roman"/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2025-11-24T11:56:23Z</dcterms:modified>
</cp:coreProperties>
</file>