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64"/>
      </w:tblGrid>
      <w:tr>
        <w:tc>
          <w:tcPr>
            <w:tcW w:type="dxa" w:w="9064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Лобакинского сельского поселения</w:t>
            </w:r>
          </w:p>
          <w:p w14:paraId="03000000">
            <w:pPr>
              <w:spacing w:after="0" w:line="240" w:lineRule="auto"/>
              <w:ind w:firstLine="0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6"/>
              </w:rPr>
              <w:t>Волгоградской области</w:t>
            </w:r>
          </w:p>
        </w:tc>
      </w:tr>
      <w:tr>
        <w:tc>
          <w:tcPr>
            <w:tcW w:type="dxa" w:w="9064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404432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х. Лобакин</w:t>
            </w:r>
            <w:r>
              <w:rPr>
                <w:rFonts w:ascii="Times New Roman" w:hAnsi="Times New Roman"/>
                <w:b w:val="1"/>
              </w:rPr>
              <w:t>, ул.Березова</w:t>
            </w:r>
            <w:r>
              <w:rPr>
                <w:rFonts w:ascii="Times New Roman" w:hAnsi="Times New Roman"/>
                <w:b w:val="1"/>
              </w:rPr>
              <w:t>я</w:t>
            </w:r>
            <w:r>
              <w:rPr>
                <w:rFonts w:ascii="Times New Roman" w:hAnsi="Times New Roman"/>
                <w:b w:val="1"/>
              </w:rPr>
              <w:t>, 1</w:t>
            </w:r>
          </w:p>
          <w:p w14:paraId="05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b w:val="1"/>
              </w:rPr>
              <w:t xml:space="preserve">Тел. </w:t>
            </w:r>
            <w:r>
              <w:rPr>
                <w:rFonts w:ascii="Times New Roman" w:hAnsi="Times New Roman"/>
                <w:b w:val="1"/>
              </w:rPr>
              <w:t>8-927-505-99-60</w:t>
            </w:r>
          </w:p>
        </w:tc>
      </w:tr>
    </w:tbl>
    <w:p w14:paraId="06000000">
      <w:pPr>
        <w:spacing w:after="0" w:line="240" w:lineRule="auto"/>
        <w:ind w:right="249"/>
        <w:rPr>
          <w:rFonts w:ascii="Times New Roman" w:hAnsi="Times New Roman"/>
        </w:rPr>
      </w:pPr>
    </w:p>
    <w:p w14:paraId="07000000">
      <w:pPr>
        <w:spacing w:after="0" w:line="240" w:lineRule="auto"/>
        <w:ind w:right="249"/>
        <w:rPr>
          <w:rFonts w:ascii="Times New Roman" w:hAnsi="Times New Roman"/>
        </w:rPr>
      </w:pPr>
    </w:p>
    <w:p w14:paraId="08000000">
      <w:pPr>
        <w:pStyle w:val="Style_2"/>
        <w:ind w:right="24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9000000">
      <w:pPr>
        <w:pStyle w:val="Style_2"/>
        <w:ind w:right="0"/>
        <w:jc w:val="center"/>
        <w:rPr>
          <w:b w:val="1"/>
          <w:sz w:val="24"/>
        </w:rPr>
      </w:pPr>
    </w:p>
    <w:p w14:paraId="0A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от 27 ноября </w:t>
      </w:r>
      <w:r>
        <w:rPr>
          <w:rFonts w:ascii="Times New Roman" w:hAnsi="Times New Roman"/>
          <w:sz w:val="24"/>
        </w:rPr>
        <w:t xml:space="preserve">2025 </w:t>
      </w:r>
      <w:r>
        <w:rPr>
          <w:rFonts w:ascii="Times New Roman" w:hAnsi="Times New Roman"/>
          <w:sz w:val="24"/>
        </w:rPr>
        <w:t xml:space="preserve">г.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>№ 93</w:t>
      </w:r>
    </w:p>
    <w:p w14:paraId="0B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</w:p>
    <w:p w14:paraId="0C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D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Об утверждении программы профилактики рисков </w:t>
      </w:r>
    </w:p>
    <w:p w14:paraId="0E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причинения вреда (ущерба) охраняемым законом </w:t>
      </w:r>
    </w:p>
    <w:p w14:paraId="0F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ценностям по </w:t>
      </w:r>
      <w:r>
        <w:rPr>
          <w:rFonts w:ascii="Times New Roman" w:hAnsi="Times New Roman"/>
          <w:b w:val="0"/>
          <w:color w:val="000000"/>
          <w:sz w:val="24"/>
        </w:rPr>
        <w:t>м</w:t>
      </w:r>
      <w:r>
        <w:rPr>
          <w:rFonts w:ascii="Times New Roman" w:hAnsi="Times New Roman"/>
          <w:b w:val="0"/>
          <w:color w:val="000000"/>
          <w:sz w:val="24"/>
        </w:rPr>
        <w:t>униципальному контролю</w:t>
      </w:r>
      <w:r>
        <w:rPr>
          <w:rFonts w:ascii="Times New Roman" w:hAnsi="Times New Roman"/>
          <w:b w:val="0"/>
          <w:color w:val="000000"/>
          <w:sz w:val="24"/>
        </w:rPr>
        <w:t xml:space="preserve"> на </w:t>
      </w:r>
    </w:p>
    <w:p w14:paraId="10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автомобильном транспорте, городском наземном </w:t>
      </w:r>
    </w:p>
    <w:p w14:paraId="11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электрическом транспорте и в дорожном хозяйстве </w:t>
      </w:r>
    </w:p>
    <w:p w14:paraId="12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4"/>
        </w:rPr>
        <w:t>Лобакинского</w:t>
      </w:r>
      <w:r>
        <w:rPr>
          <w:rFonts w:ascii="Times New Roman" w:hAnsi="Times New Roman"/>
          <w:b w:val="0"/>
          <w:color w:val="000000"/>
          <w:sz w:val="24"/>
        </w:rPr>
        <w:t xml:space="preserve"> сельского поселения </w:t>
      </w:r>
    </w:p>
    <w:p w14:paraId="13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Суровикинского муниципального района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</w:p>
    <w:p w14:paraId="14000000">
      <w:pPr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Волгоградской области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 2026</w:t>
      </w:r>
      <w:r>
        <w:rPr>
          <w:rFonts w:ascii="Times New Roman" w:hAnsi="Times New Roman"/>
          <w:b w:val="0"/>
          <w:sz w:val="24"/>
        </w:rPr>
        <w:t xml:space="preserve"> год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6000000">
      <w:pPr>
        <w:pStyle w:val="Style_2"/>
        <w:spacing w:after="0" w:line="240" w:lineRule="auto"/>
        <w:ind w:firstLine="567"/>
        <w:jc w:val="both"/>
        <w:rPr>
          <w:rFonts w:ascii="Times New Roman" w:hAnsi="Times New Roman"/>
          <w:b w:val="1"/>
          <w:color w:val="FB290D"/>
          <w:sz w:val="24"/>
        </w:rPr>
      </w:pPr>
      <w:r>
        <w:rPr>
          <w:rFonts w:ascii="Times New Roman" w:hAnsi="Times New Roman"/>
          <w:sz w:val="24"/>
        </w:rPr>
        <w:t>В соответствии со статьей 44 Федерального</w:t>
      </w:r>
      <w:r>
        <w:rPr>
          <w:rFonts w:ascii="Times New Roman" w:hAnsi="Times New Roman"/>
          <w:sz w:val="24"/>
        </w:rPr>
        <w:t xml:space="preserve"> закона о</w:t>
      </w:r>
      <w:r>
        <w:rPr>
          <w:rFonts w:ascii="Times New Roman" w:hAnsi="Times New Roman"/>
          <w:sz w:val="24"/>
        </w:rPr>
        <w:t>т 31.07.2020 № 248-ФЗ «</w:t>
      </w:r>
      <w:r>
        <w:rPr>
          <w:rFonts w:ascii="Times New Roman" w:hAnsi="Times New Roman"/>
          <w:sz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Федеральным </w:t>
      </w:r>
      <w:r>
        <w:rPr>
          <w:rFonts w:ascii="Times New Roman" w:hAnsi="Times New Roman"/>
          <w:sz w:val="24"/>
        </w:rPr>
        <w:t>законом от 06.10.2003 № 131-ФЗ «</w:t>
      </w:r>
      <w:r>
        <w:rPr>
          <w:rFonts w:ascii="Times New Roman" w:hAnsi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Постановлением Правительства Российской</w:t>
      </w:r>
      <w:r>
        <w:rPr>
          <w:rFonts w:ascii="Times New Roman" w:hAnsi="Times New Roman"/>
          <w:sz w:val="24"/>
        </w:rPr>
        <w:t xml:space="preserve"> Федерации от 25.06.2021 № 990 </w:t>
      </w:r>
      <w:r>
        <w:rPr>
          <w:rFonts w:ascii="Times New Roman" w:hAnsi="Times New Roman"/>
          <w:sz w:val="24"/>
        </w:rPr>
        <w:t>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4"/>
        </w:rPr>
        <w:t xml:space="preserve">, руководствуясь Уставом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, администрация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постановляет:</w:t>
      </w:r>
    </w:p>
    <w:p w14:paraId="17000000">
      <w:pPr>
        <w:pStyle w:val="Style_2"/>
        <w:spacing w:after="0" w:line="240" w:lineRule="auto"/>
        <w:ind w:firstLine="567"/>
        <w:jc w:val="both"/>
        <w:rPr>
          <w:rFonts w:ascii="Times New Roman" w:hAnsi="Times New Roman"/>
          <w:b w:val="1"/>
          <w:color w:val="FB290D"/>
          <w:sz w:val="24"/>
        </w:rPr>
      </w:pPr>
    </w:p>
    <w:p w14:paraId="18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Утвердить </w:t>
      </w:r>
      <w:r>
        <w:rPr>
          <w:rFonts w:ascii="Times New Roman" w:hAnsi="Times New Roman"/>
          <w:sz w:val="24"/>
        </w:rPr>
        <w:t xml:space="preserve">прилагаемую </w:t>
      </w:r>
      <w:r>
        <w:rPr>
          <w:rFonts w:ascii="Times New Roman" w:hAnsi="Times New Roman"/>
          <w:sz w:val="24"/>
        </w:rPr>
        <w:t xml:space="preserve">Программу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муниципальном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контрол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4"/>
        </w:rPr>
        <w:t>Лобакинского</w:t>
      </w:r>
      <w:r>
        <w:rPr>
          <w:rFonts w:ascii="Times New Roman" w:hAnsi="Times New Roman"/>
          <w:b w:val="0"/>
          <w:color w:val="000000"/>
          <w:sz w:val="24"/>
        </w:rPr>
        <w:t xml:space="preserve"> сельского поселения </w:t>
      </w:r>
      <w:r>
        <w:rPr>
          <w:rFonts w:ascii="Times New Roman" w:hAnsi="Times New Roman"/>
          <w:b w:val="0"/>
          <w:color w:val="000000"/>
          <w:sz w:val="24"/>
        </w:rPr>
        <w:t>Суровикинского муниципального района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Волгоградской области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 2026</w:t>
      </w:r>
      <w:r>
        <w:rPr>
          <w:rFonts w:ascii="Times New Roman" w:hAnsi="Times New Roman"/>
          <w:b w:val="0"/>
          <w:sz w:val="24"/>
        </w:rPr>
        <w:t xml:space="preserve"> год</w:t>
      </w:r>
      <w:r>
        <w:rPr>
          <w:rFonts w:ascii="Times New Roman" w:hAnsi="Times New Roman"/>
          <w:sz w:val="24"/>
        </w:rPr>
        <w:t>.</w:t>
      </w:r>
    </w:p>
    <w:p w14:paraId="19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постановление </w:t>
      </w:r>
      <w:r>
        <w:rPr>
          <w:rFonts w:ascii="Times New Roman" w:hAnsi="Times New Roman"/>
          <w:color w:val="000000"/>
          <w:sz w:val="24"/>
        </w:rPr>
        <w:t xml:space="preserve">подлежит размещению на официальном сайте администрации </w:t>
      </w:r>
      <w:r>
        <w:rPr>
          <w:rFonts w:ascii="Times New Roman" w:hAnsi="Times New Roman"/>
          <w:color w:val="000000"/>
          <w:sz w:val="24"/>
        </w:rPr>
        <w:t>Лобакинского</w:t>
      </w:r>
      <w:r>
        <w:rPr>
          <w:rFonts w:ascii="Times New Roman" w:hAnsi="Times New Roman"/>
          <w:color w:val="000000"/>
          <w:sz w:val="24"/>
        </w:rPr>
        <w:t xml:space="preserve"> сельского поселения Суровикинского муниципального района Волгоградской области в информационно-телекоммуникационной сети «Интернет»</w:t>
      </w:r>
      <w:r>
        <w:rPr>
          <w:rFonts w:ascii="Times New Roman" w:hAnsi="Times New Roman"/>
          <w:color w:val="000000"/>
          <w:sz w:val="24"/>
        </w:rPr>
        <w:t>.</w:t>
      </w:r>
    </w:p>
    <w:p w14:paraId="1A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Контроль за выполнением настоящего постановления </w:t>
      </w:r>
      <w:r>
        <w:rPr>
          <w:rFonts w:ascii="Times New Roman" w:hAnsi="Times New Roman"/>
          <w:color w:val="000000"/>
          <w:sz w:val="24"/>
        </w:rPr>
        <w:t>оставляю за собой.</w:t>
      </w:r>
    </w:p>
    <w:p w14:paraId="1B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Настоящее постановление</w:t>
      </w:r>
      <w:r>
        <w:rPr>
          <w:rFonts w:ascii="Times New Roman" w:hAnsi="Times New Roman"/>
          <w:color w:val="000000"/>
          <w:sz w:val="24"/>
        </w:rPr>
        <w:t xml:space="preserve"> вступает в силу с 1 января 2026</w:t>
      </w:r>
      <w:r>
        <w:rPr>
          <w:rFonts w:ascii="Times New Roman" w:hAnsi="Times New Roman"/>
          <w:color w:val="000000"/>
          <w:sz w:val="24"/>
        </w:rPr>
        <w:t xml:space="preserve"> г. 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E000000">
      <w:pPr>
        <w:pStyle w:val="Style_2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Глава </w:t>
      </w:r>
      <w:r>
        <w:rPr>
          <w:rFonts w:ascii="Times New Roman" w:hAnsi="Times New Roman"/>
          <w:color w:val="000000"/>
          <w:sz w:val="24"/>
        </w:rPr>
        <w:t>Лобакинского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сельского поселения                                                     </w:t>
      </w:r>
    </w:p>
    <w:p w14:paraId="1F000000">
      <w:pPr>
        <w:pStyle w:val="Style_2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Суровикинского муниципального района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20000000">
      <w:pPr>
        <w:pStyle w:val="Style_2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Волгоградской области                      </w:t>
      </w:r>
      <w:r>
        <w:rPr>
          <w:rFonts w:ascii="Times New Roman" w:hAnsi="Times New Roman"/>
          <w:color w:val="000000"/>
          <w:sz w:val="24"/>
        </w:rPr>
        <w:t xml:space="preserve">              </w:t>
      </w:r>
      <w:r>
        <w:rPr>
          <w:rFonts w:ascii="Times New Roman" w:hAnsi="Times New Roman"/>
          <w:color w:val="000000"/>
          <w:sz w:val="24"/>
        </w:rPr>
        <w:t xml:space="preserve">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А.Г. Хасиев  </w:t>
      </w:r>
    </w:p>
    <w:p w14:paraId="21000000">
      <w:pPr>
        <w:pStyle w:val="Style_2"/>
        <w:rPr>
          <w:rFonts w:ascii="Arial" w:hAnsi="Arial"/>
          <w:color w:val="FB290D"/>
          <w:sz w:val="24"/>
        </w:rPr>
      </w:pPr>
    </w:p>
    <w:p w14:paraId="22000000">
      <w:pPr>
        <w:pStyle w:val="Style_2"/>
        <w:rPr>
          <w:rFonts w:ascii="Arial" w:hAnsi="Arial"/>
          <w:color w:val="FB290D"/>
          <w:sz w:val="24"/>
        </w:rPr>
      </w:pPr>
    </w:p>
    <w:p w14:paraId="23000000">
      <w:pPr>
        <w:ind/>
        <w:jc w:val="right"/>
        <w:rPr>
          <w:rFonts w:ascii="Times New Roman" w:hAnsi="Times New Roman"/>
          <w:color w:val="FB290D"/>
          <w:sz w:val="24"/>
        </w:rPr>
      </w:pPr>
    </w:p>
    <w:p w14:paraId="24000000">
      <w:pPr>
        <w:ind/>
        <w:jc w:val="right"/>
        <w:rPr>
          <w:rFonts w:ascii="Times New Roman" w:hAnsi="Times New Roman"/>
          <w:color w:val="FB290D"/>
          <w:sz w:val="24"/>
        </w:r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УТВЕРЖДЕНА</w:t>
      </w:r>
    </w:p>
    <w:p w14:paraId="26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постановлением администрации</w:t>
      </w:r>
    </w:p>
    <w:p w14:paraId="27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Лобакинского</w:t>
      </w:r>
      <w:r>
        <w:rPr>
          <w:rFonts w:ascii="Times New Roman" w:hAnsi="Times New Roman"/>
          <w:color w:val="000000"/>
          <w:sz w:val="24"/>
        </w:rPr>
        <w:t xml:space="preserve"> сельского поселения</w:t>
      </w:r>
    </w:p>
    <w:p w14:paraId="28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Суровикинского муниципального  района</w:t>
      </w:r>
    </w:p>
    <w:p w14:paraId="29000000">
      <w:pPr>
        <w:pStyle w:val="Style_3"/>
        <w:tabs>
          <w:tab w:leader="none" w:pos="5409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 27.11.</w:t>
      </w:r>
      <w:r>
        <w:rPr>
          <w:rFonts w:ascii="Times New Roman" w:hAnsi="Times New Roman"/>
          <w:color w:val="000000"/>
          <w:sz w:val="24"/>
        </w:rPr>
        <w:t>2025</w:t>
      </w:r>
      <w:r>
        <w:rPr>
          <w:rFonts w:ascii="Times New Roman" w:hAnsi="Times New Roman"/>
          <w:color w:val="000000"/>
          <w:sz w:val="24"/>
        </w:rPr>
        <w:t xml:space="preserve">г. </w:t>
      </w:r>
      <w:r>
        <w:rPr>
          <w:rFonts w:ascii="Times New Roman" w:hAnsi="Times New Roman"/>
          <w:color w:val="000000"/>
          <w:sz w:val="24"/>
        </w:rPr>
        <w:t xml:space="preserve"> №</w:t>
      </w:r>
      <w:r>
        <w:rPr>
          <w:rFonts w:ascii="Times New Roman" w:hAnsi="Times New Roman"/>
          <w:color w:val="000000"/>
          <w:sz w:val="24"/>
        </w:rPr>
        <w:t xml:space="preserve"> 93</w:t>
      </w:r>
    </w:p>
    <w:p w14:paraId="2A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B000000">
      <w:pPr>
        <w:spacing w:after="0" w:line="240" w:lineRule="auto"/>
        <w:ind/>
        <w:jc w:val="center"/>
        <w:rPr>
          <w:rFonts w:ascii="Times New Roman" w:hAnsi="Times New Roman"/>
          <w:b w:val="1"/>
          <w:color w:val="FB290D"/>
          <w:sz w:val="24"/>
        </w:rPr>
      </w:pPr>
    </w:p>
    <w:p w14:paraId="2C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ПРОГРАММА </w:t>
      </w:r>
    </w:p>
    <w:p w14:paraId="2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222222"/>
          <w:sz w:val="24"/>
        </w:rPr>
        <w:t xml:space="preserve">профилактики рисков </w:t>
      </w:r>
      <w:r>
        <w:rPr>
          <w:rFonts w:ascii="Times New Roman" w:hAnsi="Times New Roman"/>
          <w:b w:val="1"/>
          <w:color w:val="222222"/>
          <w:sz w:val="24"/>
        </w:rPr>
        <w:t xml:space="preserve">причинения вреда (ущерба) охраняемым законом </w:t>
      </w:r>
    </w:p>
    <w:p w14:paraId="2E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222222"/>
          <w:sz w:val="24"/>
        </w:rPr>
        <w:t xml:space="preserve">ценностям по </w:t>
      </w:r>
      <w:r>
        <w:rPr>
          <w:rFonts w:ascii="Times New Roman" w:hAnsi="Times New Roman"/>
          <w:b w:val="1"/>
          <w:color w:val="000000"/>
          <w:sz w:val="24"/>
        </w:rPr>
        <w:t>м</w:t>
      </w:r>
      <w:r>
        <w:rPr>
          <w:rFonts w:ascii="Times New Roman" w:hAnsi="Times New Roman"/>
          <w:b w:val="1"/>
          <w:color w:val="000000"/>
          <w:sz w:val="24"/>
        </w:rPr>
        <w:t>униципальному контролю</w:t>
      </w:r>
      <w:r>
        <w:rPr>
          <w:rFonts w:ascii="Times New Roman" w:hAnsi="Times New Roman"/>
          <w:b w:val="1"/>
          <w:color w:val="000000"/>
          <w:sz w:val="24"/>
        </w:rPr>
        <w:t xml:space="preserve"> на </w:t>
      </w:r>
      <w:r>
        <w:rPr>
          <w:rFonts w:ascii="Times New Roman" w:hAnsi="Times New Roman"/>
          <w:b w:val="1"/>
          <w:color w:val="000000"/>
          <w:sz w:val="24"/>
        </w:rPr>
        <w:t xml:space="preserve">автомобильном транспорте, </w:t>
      </w:r>
    </w:p>
    <w:p w14:paraId="2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городском наземном </w:t>
      </w:r>
      <w:r>
        <w:rPr>
          <w:rFonts w:ascii="Times New Roman" w:hAnsi="Times New Roman"/>
          <w:b w:val="1"/>
          <w:color w:val="000000"/>
          <w:sz w:val="24"/>
        </w:rPr>
        <w:t xml:space="preserve">электрическом транспорте и в дорожном хозяйстве 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на территории </w:t>
      </w:r>
      <w:r>
        <w:rPr>
          <w:rFonts w:ascii="Times New Roman" w:hAnsi="Times New Roman"/>
          <w:b w:val="1"/>
          <w:color w:val="000000"/>
          <w:sz w:val="24"/>
        </w:rPr>
        <w:t>Лобакинского</w:t>
      </w:r>
      <w:r>
        <w:rPr>
          <w:rFonts w:ascii="Times New Roman" w:hAnsi="Times New Roman"/>
          <w:b w:val="1"/>
          <w:color w:val="000000"/>
          <w:sz w:val="24"/>
        </w:rPr>
        <w:t xml:space="preserve"> сельского поселения </w:t>
      </w:r>
      <w:r>
        <w:rPr>
          <w:rFonts w:ascii="Times New Roman" w:hAnsi="Times New Roman"/>
          <w:b w:val="1"/>
          <w:color w:val="000000"/>
          <w:sz w:val="24"/>
        </w:rPr>
        <w:t xml:space="preserve">Суровикинского 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муниципального района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Волгоградской области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2026</w:t>
      </w:r>
      <w:r>
        <w:rPr>
          <w:rFonts w:ascii="Times New Roman" w:hAnsi="Times New Roman"/>
          <w:b w:val="1"/>
          <w:sz w:val="24"/>
        </w:rPr>
        <w:t xml:space="preserve"> год</w:t>
      </w:r>
    </w:p>
    <w:p w14:paraId="32000000">
      <w:pPr>
        <w:spacing w:after="0" w:line="240" w:lineRule="auto"/>
        <w:ind/>
        <w:jc w:val="center"/>
        <w:rPr>
          <w:rFonts w:ascii="Times New Roman" w:hAnsi="Times New Roman"/>
          <w:color w:val="FB290D"/>
          <w:sz w:val="24"/>
        </w:rPr>
      </w:pPr>
    </w:p>
    <w:p w14:paraId="33000000">
      <w:pPr>
        <w:spacing w:after="0" w:line="240" w:lineRule="auto"/>
        <w:ind/>
        <w:jc w:val="center"/>
        <w:rPr>
          <w:rFonts w:ascii="Times New Roman" w:hAnsi="Times New Roman"/>
          <w:color w:val="FB290D"/>
          <w:sz w:val="24"/>
        </w:rPr>
      </w:pPr>
    </w:p>
    <w:p w14:paraId="34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положения</w:t>
      </w:r>
    </w:p>
    <w:p w14:paraId="35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1.1. Программа профилактики рисков причинения вреда (ущерба) </w:t>
      </w:r>
      <w:r>
        <w:rPr>
          <w:rFonts w:ascii="Times New Roman" w:hAnsi="Times New Roman"/>
          <w:color w:val="000000"/>
          <w:sz w:val="24"/>
        </w:rPr>
        <w:t>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Лобакинского сельского поселения Суровикинского муниципального  райо</w:t>
      </w:r>
      <w:r>
        <w:rPr>
          <w:rFonts w:ascii="Times New Roman" w:hAnsi="Times New Roman"/>
          <w:color w:val="000000"/>
          <w:sz w:val="24"/>
        </w:rPr>
        <w:t>на Волгоградской области на 2026</w:t>
      </w:r>
      <w:r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(далее - Программа профилактики) разработана д</w:t>
      </w:r>
      <w:r>
        <w:rPr>
          <w:rFonts w:ascii="Times New Roman" w:hAnsi="Times New Roman"/>
          <w:color w:val="000000"/>
          <w:sz w:val="24"/>
        </w:rPr>
        <w:t>ля организации проведения в 2026</w:t>
      </w:r>
      <w:r>
        <w:rPr>
          <w:rFonts w:ascii="Times New Roman" w:hAnsi="Times New Roman"/>
          <w:color w:val="000000"/>
          <w:sz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Лобакинского сельского поселения</w:t>
      </w:r>
      <w:r>
        <w:rPr>
          <w:rFonts w:ascii="Times New Roman" w:hAnsi="Times New Roman"/>
          <w:color w:val="000000"/>
          <w:sz w:val="24"/>
        </w:rPr>
        <w:t xml:space="preserve"> Суровикинского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1.2. Программа</w:t>
      </w:r>
      <w:r>
        <w:rPr>
          <w:rFonts w:ascii="Times New Roman" w:hAnsi="Times New Roman"/>
          <w:color w:val="000000"/>
          <w:sz w:val="24"/>
        </w:rPr>
        <w:t xml:space="preserve"> профилактики реализуется в 2026</w:t>
      </w:r>
      <w:r>
        <w:rPr>
          <w:rFonts w:ascii="Times New Roman" w:hAnsi="Times New Roman"/>
          <w:color w:val="000000"/>
          <w:sz w:val="24"/>
        </w:rPr>
        <w:t xml:space="preserve"> году и состоит из </w:t>
      </w:r>
      <w:r>
        <w:rPr>
          <w:rStyle w:val="Style_4_ch"/>
          <w:rFonts w:ascii="Times New Roman" w:hAnsi="Times New Roman"/>
          <w:color w:val="000000"/>
          <w:sz w:val="24"/>
        </w:rPr>
        <w:t>следующих разделов: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а)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</w:t>
      </w:r>
      <w:r>
        <w:rPr>
          <w:rStyle w:val="Style_4_ch"/>
          <w:rFonts w:ascii="Times New Roman" w:hAnsi="Times New Roman"/>
          <w:color w:val="000000"/>
          <w:sz w:val="24"/>
        </w:rPr>
        <w:t xml:space="preserve"> на решение которых направлена П</w:t>
      </w:r>
      <w:r>
        <w:rPr>
          <w:rStyle w:val="Style_4_ch"/>
          <w:rFonts w:ascii="Times New Roman" w:hAnsi="Times New Roman"/>
          <w:color w:val="000000"/>
          <w:sz w:val="24"/>
        </w:rPr>
        <w:t>рограмма профилактики</w:t>
      </w:r>
      <w:r>
        <w:rPr>
          <w:rFonts w:ascii="Times New Roman" w:hAnsi="Times New Roman"/>
          <w:color w:val="000000"/>
          <w:sz w:val="24"/>
        </w:rPr>
        <w:t xml:space="preserve"> (далее - аналитическая часть);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 xml:space="preserve">б) цели и задачи реализации </w:t>
      </w:r>
      <w:r>
        <w:rPr>
          <w:rStyle w:val="Style_4_ch"/>
          <w:rFonts w:ascii="Times New Roman" w:hAnsi="Times New Roman"/>
          <w:color w:val="000000"/>
          <w:sz w:val="24"/>
        </w:rPr>
        <w:t>П</w:t>
      </w:r>
      <w:r>
        <w:rPr>
          <w:rStyle w:val="Style_4_ch"/>
          <w:rFonts w:ascii="Times New Roman" w:hAnsi="Times New Roman"/>
          <w:color w:val="000000"/>
          <w:sz w:val="24"/>
        </w:rPr>
        <w:t>рограммы профилактики;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в) перечень профилактических мероприятий, сроки (периодичность) их проведения;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г) показатели ре</w:t>
      </w:r>
      <w:r>
        <w:rPr>
          <w:rStyle w:val="Style_4_ch"/>
          <w:rFonts w:ascii="Times New Roman" w:hAnsi="Times New Roman"/>
          <w:color w:val="000000"/>
          <w:sz w:val="24"/>
        </w:rPr>
        <w:t>зультативности и эффективности П</w:t>
      </w:r>
      <w:r>
        <w:rPr>
          <w:rStyle w:val="Style_4_ch"/>
          <w:rFonts w:ascii="Times New Roman" w:hAnsi="Times New Roman"/>
          <w:color w:val="000000"/>
          <w:sz w:val="24"/>
        </w:rPr>
        <w:t>рограммы профилактики.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color w:val="FB290D"/>
          <w:sz w:val="24"/>
        </w:rPr>
      </w:pPr>
    </w:p>
    <w:p w14:paraId="3D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</w:t>
      </w:r>
      <w:r>
        <w:rPr>
          <w:rFonts w:ascii="Times New Roman" w:hAnsi="Times New Roman"/>
          <w:b w:val="1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b w:val="1"/>
          <w:color w:val="000000"/>
          <w:sz w:val="24"/>
        </w:rPr>
        <w:t>рограмма профилактики</w:t>
      </w:r>
    </w:p>
    <w:p w14:paraId="3E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  <w:r>
        <w:rPr>
          <w:rFonts w:ascii="Times New Roman" w:hAnsi="Times New Roman"/>
          <w:color w:val="000000"/>
          <w:sz w:val="24"/>
        </w:rPr>
        <w:t>В 2025</w:t>
      </w:r>
      <w:r>
        <w:rPr>
          <w:rFonts w:ascii="Times New Roman" w:hAnsi="Times New Roman"/>
          <w:color w:val="000000"/>
          <w:sz w:val="24"/>
        </w:rPr>
        <w:t xml:space="preserve"> году муниципальный контроль </w:t>
      </w:r>
      <w:r>
        <w:rPr>
          <w:rFonts w:ascii="Times New Roman" w:hAnsi="Times New Roman"/>
          <w:color w:val="000000"/>
          <w:spacing w:val="2"/>
          <w:sz w:val="24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color w:val="000000"/>
          <w:sz w:val="24"/>
        </w:rPr>
        <w:t>на территории Лобакинского</w:t>
      </w:r>
      <w:r>
        <w:rPr>
          <w:rFonts w:ascii="Times New Roman" w:hAnsi="Times New Roman"/>
          <w:color w:val="000000"/>
          <w:sz w:val="24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</w:rPr>
        <w:t xml:space="preserve"> Суровикинского муниципального района Волгоградской области</w:t>
      </w:r>
      <w:r>
        <w:rPr>
          <w:rFonts w:ascii="Times New Roman" w:hAnsi="Times New Roman"/>
          <w:color w:val="000000"/>
          <w:sz w:val="24"/>
        </w:rPr>
        <w:t xml:space="preserve"> не осуществлялся,</w:t>
      </w:r>
      <w:r>
        <w:rPr>
          <w:rFonts w:ascii="Times New Roman" w:hAnsi="Times New Roman"/>
          <w:color w:val="FB290D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так как продолжают действовать ограничения на проведение плановых и внеплановых проверок хозяйствующих субъектов, предусмотренные</w:t>
      </w:r>
      <w:r>
        <w:rPr>
          <w:rFonts w:ascii="Times New Roman" w:hAnsi="Times New Roman"/>
          <w:color w:val="FB290D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Постановлением Правительства Российской Федерации от 10 марта 2022 г. № 336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"Об особенностях организации и осуществления государственного контроля (надзора), муниципального контроля".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Наземный электрический транспорт на территории Лобакинского сельского поселения Суровикинского муниципального района Волгоградской области отсутствует.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связи с этим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</w:t>
      </w:r>
      <w:r>
        <w:rPr>
          <w:rFonts w:ascii="Times New Roman" w:hAnsi="Times New Roman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color w:val="000000"/>
          <w:sz w:val="24"/>
        </w:rPr>
        <w:t>рограмма профилактики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FB290D"/>
          <w:sz w:val="24"/>
        </w:rPr>
      </w:pPr>
    </w:p>
    <w:p w14:paraId="43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Цели и задачи реализации П</w:t>
      </w:r>
      <w:r>
        <w:rPr>
          <w:rFonts w:ascii="Times New Roman" w:hAnsi="Times New Roman"/>
          <w:b w:val="1"/>
          <w:color w:val="000000"/>
          <w:sz w:val="24"/>
        </w:rPr>
        <w:t>рограммы профилактики</w:t>
      </w:r>
    </w:p>
    <w:p w14:paraId="44000000">
      <w:pPr>
        <w:spacing w:after="0" w:line="240" w:lineRule="auto"/>
        <w:ind w:firstLine="0" w:left="720"/>
        <w:rPr>
          <w:rFonts w:ascii="Times New Roman" w:hAnsi="Times New Roman"/>
          <w:color w:val="000000"/>
          <w:sz w:val="24"/>
        </w:rPr>
      </w:pP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Целями Программы профилактики являются: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 снижени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уровня вреда (ущерба), причиняемого охраняемым законом ценностям.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Задачами Программы профилактики являются: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F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Перечень профилактических мероприятий, сроки (периодичность) </w:t>
      </w:r>
    </w:p>
    <w:p w14:paraId="5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их проведения</w:t>
      </w:r>
    </w:p>
    <w:p w14:paraId="51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4110"/>
        <w:gridCol w:w="2217"/>
        <w:gridCol w:w="2156"/>
      </w:tblGrid>
      <w:tr>
        <w:trPr>
          <w:trHeight w:hRule="atLeast" w:val="360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профилактического мероприятия</w:t>
            </w:r>
          </w:p>
        </w:tc>
        <w:tc>
          <w:tcPr>
            <w:tcW w:type="dxa" w:w="2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(периодичность) проведения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Структурное подразделение, ответственное за реализацию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Информирование контролируемых и иных лиц по вопросам соблюдения обязательных требований, включая: </w:t>
            </w:r>
          </w:p>
          <w:p w14:paraId="5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-разработку схем и/или инфографики, содержащей основные требования в визуализированном виде с изложением текста требований;</w:t>
            </w:r>
          </w:p>
          <w:p w14:paraId="5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на официальном сайте администрации Лобакинского сельского поселения Суровикинского муниципального района Волгоградской области в информационно-телекоммуникационной сети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(далее – официальный сайт) сведений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о порядке досудебного обжалования решений контрольного органа, действий (бездействия) его должностных лиц;</w:t>
            </w:r>
          </w:p>
          <w:p w14:paraId="5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на официальном сайте исчерпывающего перечня сведений, которые могут запрашиваться контрольным органом у контролируемого лица.  </w:t>
            </w:r>
          </w:p>
        </w:tc>
        <w:tc>
          <w:tcPr>
            <w:tcW w:type="dxa" w:w="2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Суровикинского муниципального района Волгоградской области (далее – 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поселения)</w:t>
            </w:r>
          </w:p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62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порядка проведения контрольных мероприятий и обязательного профилактического визита;</w:t>
            </w:r>
          </w:p>
          <w:p w14:paraId="63000000">
            <w:pPr>
              <w:tabs>
                <w:tab w:leader="none" w:pos="1134" w:val="left"/>
              </w:tabs>
              <w:spacing w:after="0" w:line="240" w:lineRule="auto"/>
              <w:ind w:hanging="39" w:left="3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периодичности проведения контрольных мероприятий и обязательного профилактического визита;</w:t>
            </w:r>
          </w:p>
          <w:p w14:paraId="64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порядка принятия решений по итогам контрольных мероприятий;</w:t>
            </w:r>
          </w:p>
          <w:p w14:paraId="65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порядка обжалования решений контрольного органа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6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Инспекторы осуществляют консультирование контролируемых лиц и их представителей по вопросам, связанным с организацией и осуществлением муниципального контроля: </w:t>
            </w:r>
          </w:p>
          <w:p w14:paraId="67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</w:t>
            </w:r>
          </w:p>
          <w:p w14:paraId="68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 </w:t>
            </w:r>
          </w:p>
          <w:p w14:paraId="69000000">
            <w:pPr>
              <w:spacing w:after="0" w:line="240" w:lineRule="auto"/>
              <w:ind w:firstLine="26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консультирование контролируемых лиц и их представителей осуществляется по  вопрос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порядка обжалования решений контрольного органа.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A000000">
            <w:pPr>
              <w:spacing w:after="0" w:line="240" w:lineRule="auto"/>
              <w:ind w:firstLine="490" w:left="3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"consultantplus://offline/ref=5E6A5980DDC49DEF879D2EC1F223EBC9DB01A1693AC1EF7FF63C704701E48CD1DE1B2C709B4C735C6643BD95F3420E3B41FAB0A6E5258E6Cl8RFI"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>от 02.05.2006 № 59-ФЗ «О порядке рассмотрения обращений граждан Российской Федерации».</w:t>
            </w:r>
          </w:p>
        </w:tc>
        <w:tc>
          <w:tcPr>
            <w:tcW w:type="dxa" w:w="2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обращении лица, нуждающегося в консультировании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 w:firstLine="567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инспектором </w:t>
            </w:r>
            <w:r>
              <w:rPr>
                <w:rFonts w:ascii="Times New Roman" w:hAnsi="Times New Roman"/>
                <w:color w:val="000000"/>
                <w:sz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type="dxa" w:w="2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IV квартал 2026 г. при наличии оснований, предусмотренных законодательством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</w:tbl>
    <w:p w14:paraId="71000000">
      <w:pPr>
        <w:spacing w:after="0" w:line="240" w:lineRule="auto"/>
        <w:ind w:right="-284"/>
        <w:jc w:val="both"/>
        <w:rPr>
          <w:rFonts w:ascii="Times New Roman" w:hAnsi="Times New Roman"/>
          <w:color w:val="FB290D"/>
          <w:sz w:val="24"/>
        </w:rPr>
      </w:pPr>
    </w:p>
    <w:p w14:paraId="7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 Показатели результативности и эффективности </w:t>
      </w:r>
      <w:r>
        <w:rPr>
          <w:rFonts w:ascii="Times New Roman" w:hAnsi="Times New Roman"/>
          <w:b w:val="1"/>
          <w:color w:val="000000"/>
          <w:sz w:val="24"/>
        </w:rPr>
        <w:t>Программы профилактики</w:t>
      </w:r>
    </w:p>
    <w:p w14:paraId="7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7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оценки результативности и эффективности Программы профилактики используются следующие показатели:</w:t>
      </w: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6804"/>
        <w:gridCol w:w="1781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№ п/п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Наименование показателя</w:t>
            </w:r>
          </w:p>
        </w:tc>
        <w:tc>
          <w:tcPr>
            <w:tcW w:type="dxa" w:w="1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>
              <w:rPr>
                <w:rFonts w:ascii="Times New Roman" w:hAnsi="Times New Roman"/>
                <w:color w:val="000000"/>
                <w:sz w:val="22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1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Удовлетворенность контролируемых лиц и их представител</w:t>
            </w:r>
            <w:r>
              <w:rPr>
                <w:rFonts w:ascii="Times New Roman" w:hAnsi="Times New Roman"/>
                <w:color w:val="000000"/>
                <w:sz w:val="22"/>
              </w:rPr>
              <w:t>ей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консультированием контрольного  органа</w:t>
            </w:r>
          </w:p>
        </w:tc>
        <w:tc>
          <w:tcPr>
            <w:tcW w:type="dxa" w:w="1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 от числа обратившихся</w:t>
            </w:r>
          </w:p>
        </w:tc>
      </w:tr>
    </w:tbl>
    <w:p w14:paraId="7E000000">
      <w:pPr>
        <w:ind/>
        <w:jc w:val="both"/>
        <w:rPr>
          <w:color w:val="FB290D"/>
          <w:sz w:val="28"/>
        </w:rPr>
      </w:pPr>
    </w:p>
    <w:sectPr>
      <w:pgSz w:h="16838" w:w="11906"/>
      <w:pgMar w:bottom="851" w:footer="709" w:gutter="0" w:header="709" w:left="1701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List Paragraph"/>
    <w:basedOn w:val="Style_5"/>
    <w:link w:val="Style_8_ch"/>
    <w:pPr>
      <w:ind w:firstLine="0" w:left="720"/>
      <w:contextualSpacing w:val="1"/>
    </w:pPr>
  </w:style>
  <w:style w:styleId="Style_8_ch" w:type="character">
    <w:name w:val="List Paragraph"/>
    <w:basedOn w:val="Style_5_ch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basedOn w:val="Style_5"/>
    <w:link w:val="Style_11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1_ch" w:type="character">
    <w:name w:val="heading 3"/>
    <w:basedOn w:val="Style_5_ch"/>
    <w:link w:val="Style_11"/>
    <w:rPr>
      <w:rFonts w:ascii="Times New Roman" w:hAnsi="Times New Roman"/>
      <w:b w:val="1"/>
      <w:sz w:val="27"/>
    </w:rPr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12" w:type="paragraph">
    <w:name w:val="toc 3"/>
    <w:next w:val="Style_5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basedOn w:val="Style_5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5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Normal (Web)"/>
    <w:basedOn w:val="Style_5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5_ch"/>
    <w:link w:val="Style_18"/>
    <w:rPr>
      <w:rFonts w:ascii="Times New Roman" w:hAnsi="Times New Roman"/>
      <w:sz w:val="24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5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5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4" w:type="paragraph">
    <w:name w:val="Обычный1"/>
    <w:link w:val="Style_4_ch"/>
    <w:rPr>
      <w:rFonts w:ascii="XO Thames" w:hAnsi="XO Thames"/>
      <w:sz w:val="24"/>
    </w:rPr>
  </w:style>
  <w:style w:styleId="Style_4_ch" w:type="character">
    <w:name w:val="Обычный1"/>
    <w:link w:val="Style_4"/>
    <w:rPr>
      <w:rFonts w:ascii="XO Thames" w:hAnsi="XO Thames"/>
      <w:sz w:val="24"/>
    </w:rPr>
  </w:style>
  <w:style w:styleId="Style_23" w:type="paragraph">
    <w:name w:val="Balloon Text"/>
    <w:basedOn w:val="Style_5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5_ch"/>
    <w:link w:val="Style_23"/>
    <w:rPr>
      <w:rFonts w:ascii="Segoe UI" w:hAnsi="Segoe UI"/>
      <w:sz w:val="18"/>
    </w:rPr>
  </w:style>
  <w:style w:styleId="Style_24" w:type="paragraph">
    <w:name w:val="toc 5"/>
    <w:next w:val="Style_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5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5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5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basedOn w:val="Style_5"/>
    <w:link w:val="Style_29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9_ch" w:type="character">
    <w:name w:val="heading 2"/>
    <w:basedOn w:val="Style_5_ch"/>
    <w:link w:val="Style_29"/>
    <w:rPr>
      <w:rFonts w:ascii="Times New Roman" w:hAnsi="Times New Roman"/>
      <w:b w:val="1"/>
      <w:sz w:val="36"/>
    </w:rPr>
  </w:style>
  <w:style w:styleId="Style_3" w:type="paragraph">
    <w:name w:val="ConsPlusNormal"/>
    <w:link w:val="Style_3_ch"/>
    <w:rPr>
      <w:rFonts w:ascii="Arial" w:hAnsi="Arial"/>
      <w:sz w:val="22"/>
    </w:rPr>
  </w:style>
  <w:style w:styleId="Style_3_ch" w:type="character">
    <w:name w:val="ConsPlusNormal"/>
    <w:link w:val="Style_3"/>
    <w:rPr>
      <w:rFonts w:ascii="Arial" w:hAnsi="Arial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2025-11-26T11:13:33Z</dcterms:modified>
</cp:coreProperties>
</file>