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358"/>
      </w:tblGrid>
      <w:tr>
        <w:tc>
          <w:tcPr>
            <w:tcW w:type="dxa" w:w="9358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Лобакинского сельского поселения</w:t>
            </w:r>
          </w:p>
          <w:p w14:paraId="05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sz w:val="28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8"/>
              </w:rPr>
              <w:t>Волгоградской области</w:t>
            </w:r>
          </w:p>
        </w:tc>
      </w:tr>
      <w:tr>
        <w:tc>
          <w:tcPr>
            <w:tcW w:type="dxa" w:w="9358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404432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</w:rPr>
              <w:t>,</w:t>
            </w:r>
            <w:r>
              <w:rPr>
                <w:rFonts w:ascii="Times New Roman" w:hAnsi="Times New Roman"/>
                <w:b w:val="1"/>
              </w:rPr>
              <w:t xml:space="preserve"> х. Лобакин</w:t>
            </w:r>
            <w:r>
              <w:rPr>
                <w:rFonts w:ascii="Times New Roman" w:hAnsi="Times New Roman"/>
                <w:b w:val="1"/>
              </w:rPr>
              <w:t>, ул.Березова</w:t>
            </w:r>
            <w:r>
              <w:rPr>
                <w:rFonts w:ascii="Times New Roman" w:hAnsi="Times New Roman"/>
                <w:b w:val="1"/>
              </w:rPr>
              <w:t>я</w:t>
            </w:r>
            <w:r>
              <w:rPr>
                <w:rFonts w:ascii="Times New Roman" w:hAnsi="Times New Roman"/>
                <w:b w:val="1"/>
              </w:rPr>
              <w:t>, 1</w:t>
            </w:r>
          </w:p>
          <w:p w14:paraId="07000000">
            <w:pPr>
              <w:spacing w:after="0" w:line="240" w:lineRule="auto"/>
              <w:ind w:firstLine="0"/>
              <w:jc w:val="center"/>
            </w:pPr>
            <w:r>
              <w:rPr>
                <w:rFonts w:ascii="Times New Roman" w:hAnsi="Times New Roman"/>
                <w:b w:val="1"/>
              </w:rPr>
              <w:t xml:space="preserve">Тел. </w:t>
            </w:r>
            <w:r>
              <w:rPr>
                <w:rFonts w:ascii="Times New Roman" w:hAnsi="Times New Roman"/>
                <w:b w:val="1"/>
              </w:rPr>
              <w:t>8-927-505-99-60</w:t>
            </w:r>
          </w:p>
        </w:tc>
      </w:tr>
    </w:tbl>
    <w:p w14:paraId="08000000">
      <w:pPr>
        <w:spacing w:after="0" w:line="240" w:lineRule="auto"/>
        <w:ind/>
        <w:rPr>
          <w:rFonts w:ascii="Times New Roman" w:hAnsi="Times New Roman"/>
          <w:color w:val="000000"/>
          <w:sz w:val="27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                      </w:t>
      </w:r>
      <w:r>
        <w:rPr>
          <w:rFonts w:ascii="Times New Roman" w:hAnsi="Times New Roman"/>
          <w:b w:val="1"/>
          <w:sz w:val="28"/>
        </w:rPr>
        <w:t>№  97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от 2</w:t>
      </w:r>
      <w:r>
        <w:rPr>
          <w:rFonts w:ascii="Times New Roman" w:hAnsi="Times New Roman"/>
          <w:sz w:val="28"/>
        </w:rPr>
        <w:t>4 декабря</w:t>
      </w:r>
      <w:r>
        <w:rPr>
          <w:rFonts w:ascii="Times New Roman" w:hAnsi="Times New Roman"/>
          <w:sz w:val="28"/>
        </w:rPr>
        <w:t xml:space="preserve"> 2025 года                                                                       </w:t>
      </w:r>
      <w:r>
        <w:rPr>
          <w:rFonts w:ascii="Times New Roman" w:hAnsi="Times New Roman"/>
          <w:sz w:val="28"/>
        </w:rPr>
        <w:t>х.Лобакин</w:t>
      </w:r>
    </w:p>
    <w:p w14:paraId="0F000000">
      <w:pPr>
        <w:pStyle w:val="Style_2"/>
        <w:rPr>
          <w:rFonts w:ascii="Times New Roman" w:hAnsi="Times New Roman"/>
          <w:sz w:val="28"/>
        </w:rPr>
      </w:pPr>
    </w:p>
    <w:p w14:paraId="10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>
        <w:rPr>
          <w:rFonts w:ascii="Times New Roman" w:hAnsi="Times New Roman"/>
          <w:sz w:val="28"/>
        </w:rPr>
        <w:t xml:space="preserve">инструкции </w:t>
      </w:r>
      <w:r>
        <w:rPr>
          <w:rFonts w:ascii="Times New Roman" w:hAnsi="Times New Roman"/>
          <w:sz w:val="28"/>
        </w:rPr>
        <w:t xml:space="preserve">по рассмотрению жалоб </w:t>
      </w:r>
    </w:p>
    <w:p w14:paraId="11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подсистеме </w:t>
      </w:r>
      <w:r>
        <w:rPr>
          <w:rFonts w:ascii="Times New Roman" w:hAnsi="Times New Roman"/>
          <w:sz w:val="28"/>
        </w:rPr>
        <w:t xml:space="preserve">досудебного обжалования государственной </w:t>
      </w:r>
    </w:p>
    <w:p w14:paraId="1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информационной системы «Типовое облачное </w:t>
      </w:r>
      <w:r>
        <w:rPr>
          <w:rFonts w:ascii="Times New Roman" w:hAnsi="Times New Roman"/>
          <w:sz w:val="28"/>
        </w:rPr>
        <w:t xml:space="preserve">решение 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автоматизации контрольной </w:t>
      </w:r>
      <w:r>
        <w:rPr>
          <w:rFonts w:ascii="Times New Roman" w:hAnsi="Times New Roman"/>
          <w:sz w:val="28"/>
        </w:rPr>
        <w:t xml:space="preserve">(надзорной) деятельности» </w:t>
      </w:r>
    </w:p>
    <w:p w14:paraId="1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</w:t>
      </w:r>
      <w:r>
        <w:rPr>
          <w:rFonts w:ascii="Times New Roman" w:hAnsi="Times New Roman"/>
          <w:sz w:val="28"/>
        </w:rPr>
        <w:t xml:space="preserve">решений о проведении контрольных мероприятий, </w:t>
      </w:r>
    </w:p>
    <w:p w14:paraId="1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актов контрольных мероприятий, предписаний </w:t>
      </w:r>
      <w:r>
        <w:rPr>
          <w:rFonts w:ascii="Times New Roman" w:hAnsi="Times New Roman"/>
          <w:sz w:val="28"/>
        </w:rPr>
        <w:t xml:space="preserve">об устранении 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выявленных нарушений, </w:t>
      </w:r>
      <w:r>
        <w:rPr>
          <w:rFonts w:ascii="Times New Roman" w:hAnsi="Times New Roman"/>
          <w:color w:val="1E1D1E"/>
          <w:sz w:val="28"/>
        </w:rPr>
        <w:t xml:space="preserve">действий (бездействия) должностных 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E1D1E"/>
          <w:sz w:val="28"/>
        </w:rPr>
        <w:t>лиц</w:t>
      </w:r>
      <w:r>
        <w:rPr>
          <w:rFonts w:ascii="Times New Roman" w:hAnsi="Times New Roman"/>
          <w:color w:val="1E1D1E"/>
          <w:sz w:val="28"/>
        </w:rPr>
        <w:t xml:space="preserve"> </w:t>
      </w:r>
      <w:r>
        <w:rPr>
          <w:rFonts w:ascii="Times New Roman" w:hAnsi="Times New Roman"/>
          <w:color w:val="1E1D1E"/>
          <w:sz w:val="28"/>
        </w:rPr>
        <w:t>контрольного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E1D1E"/>
          <w:sz w:val="28"/>
        </w:rPr>
        <w:t xml:space="preserve">органа в рамках </w:t>
      </w:r>
      <w:r>
        <w:rPr>
          <w:rFonts w:ascii="Times New Roman" w:hAnsi="Times New Roman"/>
          <w:sz w:val="28"/>
        </w:rPr>
        <w:t>контрольных мероприятий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ascii="Times New Roman" w:hAnsi="Times New Roman"/>
          <w:color w:themeColor="text1" w:val="000000"/>
          <w:sz w:val="28"/>
        </w:rPr>
        <w:t xml:space="preserve">Руководством по работе с подсистемой досудебного обжалования (версия 2.0), разработанным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Министерством цифрового развития, связи и массовых коммуникаций Российской Федерации совместно с Министерством экономического развития Российской Федерации</w:t>
      </w:r>
      <w:r>
        <w:rPr>
          <w:rFonts w:ascii="Times New Roman" w:hAnsi="Times New Roman"/>
          <w:sz w:val="28"/>
        </w:rPr>
        <w:t xml:space="preserve">, руководствуясь Уставом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Суровикинского муниципального района Волгоградской области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администрация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Суровикинского муниципального района Волгоградской обл</w:t>
      </w:r>
      <w:r>
        <w:rPr>
          <w:rFonts w:ascii="Times New Roman" w:hAnsi="Times New Roman"/>
          <w:sz w:val="28"/>
        </w:rPr>
        <w:t>ас</w:t>
      </w:r>
      <w:r>
        <w:rPr>
          <w:rFonts w:ascii="Times New Roman" w:hAnsi="Times New Roman"/>
          <w:sz w:val="28"/>
        </w:rPr>
        <w:t xml:space="preserve">ти </w:t>
      </w:r>
      <w:r>
        <w:rPr>
          <w:rFonts w:ascii="Times New Roman" w:hAnsi="Times New Roman"/>
          <w:sz w:val="28"/>
        </w:rPr>
        <w:t>постановля</w:t>
      </w:r>
      <w:r>
        <w:rPr>
          <w:rFonts w:ascii="Times New Roman" w:hAnsi="Times New Roman"/>
          <w:sz w:val="28"/>
        </w:rPr>
        <w:t>ет</w:t>
      </w:r>
      <w:r>
        <w:rPr>
          <w:rFonts w:ascii="Times New Roman" w:hAnsi="Times New Roman"/>
          <w:sz w:val="28"/>
        </w:rPr>
        <w:t>:</w:t>
      </w:r>
    </w:p>
    <w:p w14:paraId="1B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</w:t>
      </w:r>
      <w:r>
        <w:rPr>
          <w:rFonts w:ascii="Times New Roman" w:hAnsi="Times New Roman"/>
          <w:sz w:val="28"/>
        </w:rPr>
        <w:t xml:space="preserve"> прилагаемую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инструкцию по рассмотрению жалоб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в отношении решений о проведении контрольных мероприятий, актов контрольных мероприятий, предписаний об устранении выявленных нарушений, </w:t>
      </w:r>
      <w:r>
        <w:rPr>
          <w:rFonts w:ascii="Times New Roman" w:hAnsi="Times New Roman"/>
          <w:color w:val="1E1D1E"/>
          <w:sz w:val="28"/>
        </w:rPr>
        <w:t>действий (бездействия) должностных лиц контрольного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E1D1E"/>
          <w:sz w:val="28"/>
        </w:rPr>
        <w:t xml:space="preserve">органа в рамках </w:t>
      </w:r>
      <w:r>
        <w:rPr>
          <w:rFonts w:ascii="Times New Roman" w:hAnsi="Times New Roman"/>
          <w:sz w:val="28"/>
        </w:rPr>
        <w:t>контрольных мероприятий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Постановление от 04.05.2023 года  № 17 «Об утверждении </w:t>
      </w:r>
      <w:r>
        <w:rPr>
          <w:rFonts w:ascii="Times New Roman" w:hAnsi="Times New Roman"/>
          <w:sz w:val="28"/>
        </w:rPr>
        <w:t xml:space="preserve">инструкции </w:t>
      </w:r>
      <w:r>
        <w:rPr>
          <w:rFonts w:ascii="Times New Roman" w:hAnsi="Times New Roman"/>
          <w:sz w:val="28"/>
        </w:rPr>
        <w:t xml:space="preserve">по рассмотрению жалоб в подсистеме  досудебного обжалования государственной информационной системы «Типовое облачное решение по автоматизации контрольной (надзорной) деятельности» в отношении  решений о проведении контрольных мероприятий, актов контрольных мероприятий, предписаний об устранении выявленных нарушений, </w:t>
      </w:r>
      <w:r>
        <w:rPr>
          <w:rFonts w:ascii="Times New Roman" w:hAnsi="Times New Roman"/>
          <w:color w:val="1E1D1E"/>
          <w:sz w:val="28"/>
        </w:rPr>
        <w:t>действи</w:t>
      </w:r>
      <w:r>
        <w:rPr>
          <w:rFonts w:ascii="Times New Roman" w:hAnsi="Times New Roman"/>
          <w:color w:val="1E1D1E"/>
          <w:sz w:val="28"/>
        </w:rPr>
        <w:t xml:space="preserve">й (бездействия) должностных лиц </w:t>
      </w:r>
      <w:r>
        <w:rPr>
          <w:rFonts w:ascii="Times New Roman" w:hAnsi="Times New Roman"/>
          <w:color w:val="1E1D1E"/>
          <w:sz w:val="28"/>
        </w:rPr>
        <w:t>контрольного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E1D1E"/>
          <w:sz w:val="28"/>
        </w:rPr>
        <w:t xml:space="preserve">органа в рамках </w:t>
      </w:r>
      <w:r>
        <w:rPr>
          <w:rFonts w:ascii="Times New Roman" w:hAnsi="Times New Roman"/>
          <w:sz w:val="28"/>
        </w:rPr>
        <w:t>контрольных мероприятий</w:t>
      </w:r>
      <w:r>
        <w:rPr>
          <w:rFonts w:ascii="Times New Roman" w:hAnsi="Times New Roman"/>
          <w:sz w:val="28"/>
        </w:rPr>
        <w:t>» признать утратившим силу.</w:t>
      </w:r>
    </w:p>
    <w:p w14:paraId="1D000000">
      <w:pPr>
        <w:pStyle w:val="Style_3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Контроль за исполнением постановления оставляю за собой</w:t>
      </w:r>
      <w:r>
        <w:rPr>
          <w:rFonts w:ascii="Times New Roman" w:hAnsi="Times New Roman"/>
          <w:sz w:val="28"/>
        </w:rPr>
        <w:t>.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после</w:t>
      </w:r>
      <w:r>
        <w:rPr>
          <w:rFonts w:ascii="Times New Roman" w:hAnsi="Times New Roman"/>
          <w:sz w:val="28"/>
        </w:rPr>
        <w:t xml:space="preserve">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</w:t>
      </w:r>
      <w:r>
        <w:rPr>
          <w:rFonts w:ascii="Times New Roman" w:hAnsi="Times New Roman"/>
          <w:sz w:val="28"/>
        </w:rPr>
        <w:t xml:space="preserve">ания и подлежит размещению на официальном сайте администрации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Суровикинского муниципального района Волгоградской области в информационно-телекоммуникационной сети «Интернет».</w:t>
      </w:r>
    </w:p>
    <w:p w14:paraId="1F000000">
      <w:pPr>
        <w:pStyle w:val="Style_4"/>
        <w:ind w:firstLine="709"/>
        <w:jc w:val="both"/>
        <w:rPr>
          <w:sz w:val="28"/>
        </w:rPr>
      </w:pPr>
    </w:p>
    <w:p w14:paraId="20000000">
      <w:pPr>
        <w:pStyle w:val="Style_4"/>
        <w:ind w:firstLine="709"/>
        <w:jc w:val="both"/>
        <w:rPr>
          <w:sz w:val="28"/>
        </w:rPr>
      </w:pPr>
    </w:p>
    <w:p w14:paraId="21000000">
      <w:pPr>
        <w:pStyle w:val="Style_4"/>
        <w:ind w:firstLine="709"/>
        <w:jc w:val="both"/>
        <w:rPr>
          <w:sz w:val="28"/>
        </w:rPr>
      </w:pPr>
    </w:p>
    <w:p w14:paraId="22000000">
      <w:pPr>
        <w:pStyle w:val="Style_4"/>
        <w:ind w:firstLine="709"/>
        <w:jc w:val="both"/>
        <w:rPr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</w:rPr>
        <w:t xml:space="preserve">поселения    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А.Г. Хасиев</w:t>
      </w:r>
    </w:p>
    <w:p w14:paraId="2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5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7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8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A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B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C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D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E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3F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 w:firstLine="0" w:left="53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УТВЕРЖДЕНА  </w:t>
      </w:r>
    </w:p>
    <w:p w14:paraId="44000000">
      <w:pPr>
        <w:spacing w:after="0" w:line="240" w:lineRule="auto"/>
        <w:ind w:firstLine="0" w:left="53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</w:t>
      </w:r>
      <w:r>
        <w:rPr>
          <w:rFonts w:ascii="Times New Roman" w:hAnsi="Times New Roman"/>
          <w:sz w:val="24"/>
        </w:rPr>
        <w:t xml:space="preserve">администрации  </w:t>
      </w: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 Суровикинского </w:t>
      </w:r>
      <w:r>
        <w:rPr>
          <w:rFonts w:ascii="Times New Roman" w:hAnsi="Times New Roman"/>
          <w:sz w:val="24"/>
        </w:rPr>
        <w:t>муниципального района Волгоградской области</w:t>
      </w:r>
    </w:p>
    <w:p w14:paraId="45000000">
      <w:pPr>
        <w:spacing w:after="0" w:line="240" w:lineRule="auto"/>
        <w:ind w:firstLine="0" w:left="53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24 декабря 2025 г. № 97</w:t>
      </w:r>
    </w:p>
    <w:p w14:paraId="46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7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8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ИНСТРУКЦИЯ</w:t>
      </w:r>
    </w:p>
    <w:p w14:paraId="49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 рассмотрению жалоб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в отношении решений о проведении контрольных мероприятий, актов контрольных мероприятий, предписаний об устранении выявленных нарушений, </w:t>
      </w:r>
      <w:r>
        <w:rPr>
          <w:rFonts w:ascii="Times New Roman" w:hAnsi="Times New Roman"/>
          <w:color w:val="1E1D1E"/>
          <w:sz w:val="28"/>
        </w:rPr>
        <w:t xml:space="preserve">действий (бездействия) должностных лиц контрольного органа в рамках </w:t>
      </w:r>
      <w:r>
        <w:rPr>
          <w:rFonts w:ascii="Times New Roman" w:hAnsi="Times New Roman"/>
          <w:sz w:val="28"/>
        </w:rPr>
        <w:t>контрольных мероприятий</w:t>
      </w:r>
    </w:p>
    <w:p w14:paraId="4A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C000000">
      <w:pPr>
        <w:widowControl w:val="0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положения</w:t>
      </w:r>
    </w:p>
    <w:p w14:paraId="4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E000000">
      <w:pPr>
        <w:numPr>
          <w:ilvl w:val="1"/>
          <w:numId w:val="2"/>
        </w:numPr>
        <w:spacing w:after="0" w:line="240" w:lineRule="auto"/>
        <w:ind w:firstLine="72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Инструкция по</w:t>
      </w:r>
      <w:r>
        <w:rPr>
          <w:rFonts w:ascii="Times New Roman" w:hAnsi="Times New Roman"/>
          <w:sz w:val="28"/>
        </w:rPr>
        <w:t xml:space="preserve"> рассмотрению жалоб в подсистеме досудебного обжалования государственной информационной системы «Типовое облачное решение по автоматизации контрольной (надзорной) деятельности» (далее – ГИС ТОР КНД) в отношении решений о проведении контрольных мероприятий, актов контрольных мероприятий, предписаний об устранении выявленных нарушений, </w:t>
      </w:r>
      <w:r>
        <w:rPr>
          <w:rFonts w:ascii="Times New Roman" w:hAnsi="Times New Roman"/>
          <w:color w:val="1E1D1E"/>
          <w:sz w:val="28"/>
        </w:rPr>
        <w:t xml:space="preserve">действий (бездействия) должностных лиц администрации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color w:val="1E1D1E"/>
          <w:sz w:val="28"/>
        </w:rPr>
        <w:t xml:space="preserve">Суровикинского муниципального района Волгоградской области (далее - контрольный орган) в рамках </w:t>
      </w:r>
      <w:r>
        <w:rPr>
          <w:rFonts w:ascii="Times New Roman" w:hAnsi="Times New Roman"/>
          <w:sz w:val="28"/>
        </w:rPr>
        <w:t xml:space="preserve">контрольных мероприятий разработана в соответствии с  Положением о муниципальном жилищном контроле на территории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Суровикинского муниципального района Волгоградской области, утвержденным решением Совета депутатов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Суровикинского муниципального района Волгоградской области от 23.06.2025 № 14/44 (с изменениями от 08.09.2025 № 18/50, от 24.10.2025 № 21/58, от 18.12.2025 №23/60), </w:t>
      </w:r>
      <w:r>
        <w:rPr>
          <w:rFonts w:ascii="Times New Roman" w:hAnsi="Times New Roman"/>
          <w:sz w:val="28"/>
        </w:rPr>
        <w:t xml:space="preserve">Положением о муниципальном контроле в сфере благоустройства в </w:t>
      </w:r>
      <w:r>
        <w:rPr>
          <w:rFonts w:ascii="Times New Roman" w:hAnsi="Times New Roman"/>
          <w:sz w:val="28"/>
        </w:rPr>
        <w:t>Лобакинском</w:t>
      </w:r>
      <w:r>
        <w:rPr>
          <w:rFonts w:ascii="Times New Roman" w:hAnsi="Times New Roman"/>
          <w:sz w:val="28"/>
        </w:rPr>
        <w:t xml:space="preserve"> сельском поселении</w:t>
      </w:r>
      <w:r>
        <w:rPr>
          <w:rFonts w:ascii="Times New Roman" w:hAnsi="Times New Roman"/>
          <w:sz w:val="28"/>
        </w:rPr>
        <w:t xml:space="preserve"> Суровикинского муниципального района Волгоградской области, утвержденным решением </w:t>
      </w:r>
      <w:r>
        <w:rPr>
          <w:rFonts w:ascii="Times New Roman" w:hAnsi="Times New Roman"/>
          <w:sz w:val="28"/>
        </w:rPr>
        <w:t xml:space="preserve">Совета депутатов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Суровикинского муниципального района Волгоградской области от 23.06.2025 № 14/45 (с изменениями от </w:t>
      </w:r>
      <w:r>
        <w:rPr>
          <w:rFonts w:ascii="Times New Roman" w:hAnsi="Times New Roman"/>
          <w:sz w:val="28"/>
        </w:rPr>
        <w:t>08.09.2025 № 18/52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 18.12.2025 № 23/61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 xml:space="preserve">Положением о муниципальном контроле </w:t>
      </w:r>
      <w:r>
        <w:rPr>
          <w:rFonts w:ascii="Times New Roman" w:hAnsi="Times New Roman"/>
          <w:sz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Суровикинского муниципального района Волгоградской области, утвержденным </w:t>
      </w:r>
      <w:r>
        <w:rPr>
          <w:rFonts w:ascii="Times New Roman" w:hAnsi="Times New Roman"/>
          <w:sz w:val="28"/>
        </w:rPr>
        <w:t xml:space="preserve">решением Совета депутатов </w:t>
      </w:r>
      <w:r>
        <w:rPr>
          <w:rFonts w:ascii="Times New Roman" w:hAnsi="Times New Roman"/>
          <w:sz w:val="28"/>
        </w:rPr>
        <w:t>Лобакинского</w:t>
      </w:r>
      <w:r>
        <w:rPr>
          <w:rFonts w:ascii="Times New Roman" w:hAnsi="Times New Roman"/>
          <w:sz w:val="28"/>
        </w:rPr>
        <w:t xml:space="preserve"> сельского поселения Суровикинского муниципального района Волгоградской области </w:t>
      </w:r>
      <w:r>
        <w:rPr>
          <w:rFonts w:ascii="Times New Roman" w:hAnsi="Times New Roman"/>
          <w:sz w:val="28"/>
        </w:rPr>
        <w:t xml:space="preserve"> от 23.06.2025 № 14/43 (с изменениями от </w:t>
      </w:r>
      <w:r>
        <w:rPr>
          <w:rFonts w:ascii="Times New Roman" w:hAnsi="Times New Roman"/>
          <w:sz w:val="28"/>
        </w:rPr>
        <w:t>08.09.2025 № 18/51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от 18.12.2025 № 23/62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(далее – положения о муниципальном контроле). </w:t>
      </w:r>
    </w:p>
    <w:p w14:paraId="4F000000">
      <w:pPr>
        <w:widowControl w:val="0"/>
        <w:numPr>
          <w:ilvl w:val="1"/>
          <w:numId w:val="2"/>
        </w:numPr>
        <w:tabs>
          <w:tab w:leader="none" w:pos="993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Настоящая Инструкция определяет порядок и сроки рассмотрения жалоб контрольным органом </w:t>
      </w:r>
      <w:r>
        <w:rPr>
          <w:rFonts w:ascii="Times New Roman" w:hAnsi="Times New Roman"/>
          <w:sz w:val="28"/>
        </w:rPr>
        <w:t xml:space="preserve">в подсистеме досудебного обжалования ГИС ТОР КНД. </w:t>
      </w:r>
    </w:p>
    <w:p w14:paraId="50000000">
      <w:pPr>
        <w:widowControl w:val="0"/>
        <w:spacing w:after="0" w:line="240" w:lineRule="auto"/>
        <w:ind w:firstLine="0" w:left="360"/>
        <w:rPr>
          <w:rFonts w:ascii="Times New Roman" w:hAnsi="Times New Roman"/>
          <w:sz w:val="28"/>
        </w:rPr>
      </w:pPr>
    </w:p>
    <w:p w14:paraId="51000000">
      <w:pPr>
        <w:widowControl w:val="0"/>
        <w:numPr>
          <w:ilvl w:val="0"/>
          <w:numId w:val="1"/>
        </w:num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Права и обязанности сотрудников, ответственных за работу с жалобами</w:t>
      </w:r>
    </w:p>
    <w:p w14:paraId="52000000">
      <w:pPr>
        <w:widowControl w:val="0"/>
        <w:numPr>
          <w:ilvl w:val="1"/>
          <w:numId w:val="1"/>
        </w:numPr>
        <w:spacing w:after="0" w:line="240" w:lineRule="auto"/>
        <w:ind w:firstLine="709" w:left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  <w:highlight w:val="white"/>
        </w:rPr>
        <w:t>контрольного органа</w:t>
      </w:r>
      <w:r>
        <w:rPr>
          <w:rFonts w:ascii="Times New Roman" w:hAnsi="Times New Roman"/>
          <w:sz w:val="28"/>
        </w:rPr>
        <w:t xml:space="preserve"> осуществляет:</w:t>
      </w:r>
    </w:p>
    <w:p w14:paraId="53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и подписание проектов решений по жалобам;</w:t>
      </w:r>
    </w:p>
    <w:p w14:paraId="54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согласование запроса дополнительных документов;</w:t>
      </w:r>
    </w:p>
    <w:p w14:paraId="55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согласование и подписание проектов решений по удовлетворению/отказу в удовлетворении ходатайств.                                  </w:t>
      </w:r>
    </w:p>
    <w:p w14:paraId="56000000">
      <w:pPr>
        <w:widowControl w:val="0"/>
        <w:numPr>
          <w:ilvl w:val="1"/>
          <w:numId w:val="1"/>
        </w:numPr>
        <w:tabs>
          <w:tab w:leader="none" w:pos="0" w:val="left"/>
        </w:tabs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</w:t>
      </w:r>
      <w:r>
        <w:rPr>
          <w:rFonts w:ascii="Times New Roman" w:hAnsi="Times New Roman"/>
          <w:sz w:val="28"/>
          <w:highlight w:val="white"/>
        </w:rPr>
        <w:t>контрольного органа</w:t>
      </w:r>
      <w:r>
        <w:rPr>
          <w:rFonts w:ascii="Times New Roman" w:hAnsi="Times New Roman"/>
          <w:sz w:val="28"/>
        </w:rPr>
        <w:t xml:space="preserve"> осуществляет согласование и подписание проектов решений по вопросам, указанным в пункте 2.1 настоящей инструкции, в срок, не превышающий 3 рабочих дней после поступления жалобы на согласование и подписание. </w:t>
      </w:r>
    </w:p>
    <w:p w14:paraId="57000000">
      <w:pPr>
        <w:widowControl w:val="0"/>
        <w:tabs>
          <w:tab w:leader="none" w:pos="0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Секретарь </w:t>
      </w:r>
      <w:r>
        <w:rPr>
          <w:rFonts w:ascii="Times New Roman" w:hAnsi="Times New Roman"/>
          <w:sz w:val="28"/>
          <w:highlight w:val="white"/>
        </w:rPr>
        <w:t>контрольного органа</w:t>
      </w:r>
      <w:r>
        <w:rPr>
          <w:rFonts w:ascii="Times New Roman" w:hAnsi="Times New Roman"/>
          <w:sz w:val="28"/>
        </w:rPr>
        <w:t xml:space="preserve"> осуществляет назначение исполнителей по жалобе, в срок, не превышающий 1 рабочего дня с момента регистрации жалобы. </w:t>
      </w:r>
    </w:p>
    <w:p w14:paraId="58000000">
      <w:pPr>
        <w:widowControl w:val="0"/>
        <w:spacing w:after="0" w:line="240" w:lineRule="auto"/>
        <w:ind w:firstLine="709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Инспектор </w:t>
      </w:r>
      <w:r>
        <w:rPr>
          <w:rFonts w:ascii="Times New Roman" w:hAnsi="Times New Roman"/>
          <w:sz w:val="28"/>
          <w:highlight w:val="white"/>
        </w:rPr>
        <w:t>контрольного органа вправе</w:t>
      </w:r>
      <w:r>
        <w:rPr>
          <w:rFonts w:ascii="Times New Roman" w:hAnsi="Times New Roman"/>
          <w:sz w:val="28"/>
        </w:rPr>
        <w:t>:</w:t>
      </w:r>
    </w:p>
    <w:p w14:paraId="59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решение об отказе в рассмотрении жалобы в течение 5 рабочих дней с момента регистрации жалобы;</w:t>
      </w:r>
    </w:p>
    <w:p w14:paraId="5A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запросить у контролируемого лица, подавшего жалобу, дополнительную информацию и документы, относящиеся к предмету жалобы в любой момент времени.</w:t>
      </w:r>
    </w:p>
    <w:p w14:paraId="5B000000">
      <w:pPr>
        <w:widowControl w:val="0"/>
        <w:spacing w:after="0" w:line="240" w:lineRule="auto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2.5. Инспектор </w:t>
      </w:r>
      <w:r>
        <w:rPr>
          <w:rFonts w:ascii="Times New Roman" w:hAnsi="Times New Roman"/>
          <w:sz w:val="28"/>
          <w:highlight w:val="white"/>
        </w:rPr>
        <w:t>контрольного органа</w:t>
      </w:r>
      <w:r>
        <w:rPr>
          <w:rFonts w:ascii="Times New Roman" w:hAnsi="Times New Roman"/>
          <w:sz w:val="28"/>
        </w:rPr>
        <w:t>:</w:t>
      </w:r>
    </w:p>
    <w:p w14:paraId="5C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перенаправление жалобы в другое структурное подразделение контрольного органа в срок, не превышающий 1 рабочего дня с момента назначения инспектора исполнителем по жалобе;</w:t>
      </w:r>
    </w:p>
    <w:p w14:paraId="5D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подготавливает проект решения об удовлетворении/отказе в удовлетворении ходатайства о восстановлении пропущенного срока подачи жалобы в срок, не превышающий 2 рабочих дней с момента назначения инспектора исполнителем по жалобе;</w:t>
      </w:r>
    </w:p>
    <w:p w14:paraId="5E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подготавливает проект решения об удовлетворении/отказе в удовлетворении ходатайства о приостановлении исполнения обжалуемого решения в срок, не превышающий 2 рабочих дней с момента регистрации </w:t>
      </w:r>
      <w:r>
        <w:rPr>
          <w:rFonts w:ascii="Times New Roman" w:hAnsi="Times New Roman"/>
          <w:sz w:val="28"/>
        </w:rPr>
        <w:t>жалобы;</w:t>
      </w:r>
    </w:p>
    <w:p w14:paraId="5F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рассмотрение жалобы по существу в срок, не превышающий 10 рабочих дней;</w:t>
      </w:r>
    </w:p>
    <w:p w14:paraId="60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рассмотрения жалобы подготавливает проект решения по жалобе и направляет его на согласование и подписание руководителю контрольного органа и другим уполномоченным лицам.</w:t>
      </w:r>
    </w:p>
    <w:p w14:paraId="61000000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62000000">
      <w:pPr>
        <w:widowControl w:val="0"/>
        <w:numPr>
          <w:ilvl w:val="0"/>
          <w:numId w:val="1"/>
        </w:numPr>
        <w:spacing w:after="0" w:line="240" w:lineRule="auto"/>
        <w:ind w:firstLine="0" w:left="36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рассмотрения жалоб и ходатайств контрольным органом</w:t>
      </w:r>
    </w:p>
    <w:p w14:paraId="63000000">
      <w:pPr>
        <w:widowControl w:val="0"/>
        <w:numPr>
          <w:ilvl w:val="1"/>
          <w:numId w:val="1"/>
        </w:numPr>
        <w:spacing w:after="0" w:line="240" w:lineRule="auto"/>
        <w:ind w:firstLine="72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Жалоба подлежит рассмотрению контрольным органом в течение 15 рабочих дней со дня её регистрации. В исключительных случаях, установленных п</w:t>
      </w:r>
      <w:r>
        <w:rPr>
          <w:rFonts w:ascii="Times New Roman" w:hAnsi="Times New Roman"/>
          <w:sz w:val="28"/>
        </w:rPr>
        <w:t>оложениями о муниципальном контроле, этот срок может быть продлен указанным органом на двадцать рабочих дней.</w:t>
      </w:r>
    </w:p>
    <w:p w14:paraId="64000000">
      <w:pPr>
        <w:widowControl w:val="0"/>
        <w:numPr>
          <w:ilvl w:val="1"/>
          <w:numId w:val="1"/>
        </w:numPr>
        <w:spacing w:after="0" w:line="240" w:lineRule="auto"/>
        <w:ind w:firstLine="72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жалобы должностным лицом, принявшим (осуществившим) обжалуемое решение, действие (бездействие) является недопустимым.</w:t>
      </w:r>
    </w:p>
    <w:p w14:paraId="65000000">
      <w:pPr>
        <w:widowControl w:val="0"/>
        <w:numPr>
          <w:ilvl w:val="1"/>
          <w:numId w:val="1"/>
        </w:numPr>
        <w:spacing w:after="0" w:line="240" w:lineRule="auto"/>
        <w:ind w:firstLine="72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Ходатайство подлежит рассмотрению в течение 3 рабочих дней с момента регистрации в контрольном органе.</w:t>
      </w:r>
    </w:p>
    <w:p w14:paraId="66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40" w:w="11907"/>
      <w:pgMar w:bottom="1559" w:footer="0" w:gutter="0" w:header="0" w:left="1560" w:right="1134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44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52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440" w:left="3600"/>
      </w:pPr>
    </w:lvl>
    <w:lvl w:ilvl="6">
      <w:start w:val="1"/>
      <w:numFmt w:val="decimal"/>
      <w:lvlText w:val="%1.%2.%3.%4.%5.%6.%7."/>
      <w:lvlJc w:val="left"/>
      <w:pPr>
        <w:ind w:hanging="1800" w:left="4320"/>
      </w:pPr>
    </w:lvl>
    <w:lvl w:ilvl="7">
      <w:start w:val="1"/>
      <w:numFmt w:val="decimal"/>
      <w:lvlText w:val="%1.%2.%3.%4.%5.%6.%7.%8."/>
      <w:lvlJc w:val="left"/>
      <w:pPr>
        <w:ind w:hanging="1800" w:left="4680"/>
      </w:pPr>
    </w:lvl>
    <w:lvl w:ilvl="8">
      <w:start w:val="1"/>
      <w:numFmt w:val="decimal"/>
      <w:lvlText w:val="%1.%2.%3.%4.%5.%6.%7.%8.%9."/>
      <w:lvlJc w:val="left"/>
      <w:pPr>
        <w:ind w:hanging="2160" w:left="5400"/>
      </w:pPr>
    </w:lvl>
  </w:abstractNum>
  <w:abstractNum w:abstractNumId="1">
    <w:lvl w:ilvl="0">
      <w:start w:val="1"/>
      <w:numFmt w:val="decimal"/>
      <w:lvlText w:val="%1."/>
      <w:lvlJc w:val="left"/>
      <w:pPr>
        <w:ind w:hanging="750" w:left="1470"/>
      </w:pPr>
      <w:rPr>
        <w:color w:val="000000"/>
      </w:rPr>
    </w:lvl>
    <w:lvl w:ilvl="1">
      <w:start w:val="1"/>
      <w:numFmt w:val="decimal"/>
      <w:lvlText w:val="%1.%2."/>
      <w:lvlJc w:val="left"/>
      <w:pPr>
        <w:ind w:hanging="720" w:left="1440"/>
      </w:pPr>
    </w:lvl>
    <w:lvl w:ilvl="2">
      <w:start w:val="1"/>
      <w:numFmt w:val="decimal"/>
      <w:lvlText w:val="%1.%2.%3."/>
      <w:lvlJc w:val="left"/>
      <w:pPr>
        <w:ind w:hanging="720" w:left="1440"/>
      </w:pPr>
    </w:lvl>
    <w:lvl w:ilvl="3">
      <w:start w:val="1"/>
      <w:numFmt w:val="decimal"/>
      <w:lvlText w:val="%1.%2.%3.%4."/>
      <w:lvlJc w:val="left"/>
      <w:pPr>
        <w:ind w:hanging="1080" w:left="1800"/>
      </w:pPr>
    </w:lvl>
    <w:lvl w:ilvl="4">
      <w:start w:val="1"/>
      <w:numFmt w:val="decimal"/>
      <w:lvlText w:val="%1.%2.%3.%4.%5."/>
      <w:lvlJc w:val="left"/>
      <w:pPr>
        <w:ind w:hanging="1080" w:left="1800"/>
      </w:pPr>
    </w:lvl>
    <w:lvl w:ilvl="5">
      <w:start w:val="1"/>
      <w:numFmt w:val="decimal"/>
      <w:lvlText w:val="%1.%2.%3.%4.%5.%6."/>
      <w:lvlJc w:val="left"/>
      <w:pPr>
        <w:ind w:hanging="1440" w:left="2160"/>
      </w:pPr>
    </w:lvl>
    <w:lvl w:ilvl="6">
      <w:start w:val="1"/>
      <w:numFmt w:val="decimal"/>
      <w:lvlText w:val="%1.%2.%3.%4.%5.%6.%7."/>
      <w:lvlJc w:val="left"/>
      <w:pPr>
        <w:ind w:hanging="1800" w:left="2520"/>
      </w:pPr>
    </w:lvl>
    <w:lvl w:ilvl="7">
      <w:start w:val="1"/>
      <w:numFmt w:val="decimal"/>
      <w:lvlText w:val="%1.%2.%3.%4.%5.%6.%7.%8."/>
      <w:lvlJc w:val="left"/>
      <w:pPr>
        <w:ind w:hanging="1800" w:left="2520"/>
      </w:pPr>
    </w:lvl>
    <w:lvl w:ilvl="8">
      <w:start w:val="1"/>
      <w:numFmt w:val="decimal"/>
      <w:lvlText w:val="%1.%2.%3.%4.%5.%6.%7.%8.%9."/>
      <w:lvlJc w:val="left"/>
      <w:pPr>
        <w:ind w:hanging="2160" w:left="28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5_ch" w:type="character">
    <w:name w:val="Normal"/>
    <w:link w:val="Style_5"/>
    <w:rPr>
      <w:rFonts w:ascii="Calibri" w:hAnsi="Calibri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heading 3"/>
    <w:next w:val="Style_5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footer"/>
    <w:basedOn w:val="Style_5"/>
    <w:link w:val="Style_1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5_ch"/>
    <w:link w:val="Style_11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2" w:type="paragraph">
    <w:name w:val="Balloon Text"/>
    <w:basedOn w:val="Style_5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5_ch"/>
    <w:link w:val="Style_12"/>
    <w:rPr>
      <w:rFonts w:ascii="Tahoma" w:hAnsi="Tahoma"/>
      <w:sz w:val="16"/>
    </w:rPr>
  </w:style>
  <w:style w:styleId="Style_13" w:type="paragraph">
    <w:name w:val="ConsPlusTitlePage"/>
    <w:link w:val="Style_13_ch"/>
    <w:pPr>
      <w:widowControl w:val="0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ConsPlusTitle"/>
    <w:link w:val="Style_14_ch"/>
    <w:pPr>
      <w:widowControl w:val="0"/>
      <w:ind/>
    </w:pPr>
    <w:rPr>
      <w:rFonts w:ascii="Calibri" w:hAnsi="Calibri"/>
      <w:b w:val="1"/>
    </w:rPr>
  </w:style>
  <w:style w:styleId="Style_14_ch" w:type="character">
    <w:name w:val="ConsPlusTitle"/>
    <w:link w:val="Style_14"/>
    <w:rPr>
      <w:rFonts w:ascii="Calibri" w:hAnsi="Calibri"/>
      <w:b w:val="1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p12"/>
    <w:basedOn w:val="Style_5"/>
    <w:link w:val="Style_1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p12"/>
    <w:basedOn w:val="Style_5_ch"/>
    <w:link w:val="Style_17"/>
    <w:rPr>
      <w:rFonts w:ascii="Times New Roman" w:hAnsi="Times New Roman"/>
      <w:sz w:val="24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/>
      <w:jc w:val="left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5"/>
    <w:link w:val="Style_23_ch"/>
    <w:uiPriority w:val="39"/>
    <w:pPr>
      <w:ind w:firstLine="0" w:left="1600"/>
    </w:pPr>
  </w:style>
  <w:style w:styleId="Style_23_ch" w:type="character">
    <w:name w:val="toc 9"/>
    <w:link w:val="Style_23"/>
  </w:style>
  <w:style w:styleId="Style_24" w:type="paragraph">
    <w:name w:val="toc 8"/>
    <w:next w:val="Style_5"/>
    <w:link w:val="Style_24_ch"/>
    <w:uiPriority w:val="39"/>
    <w:pPr>
      <w:ind w:firstLine="0" w:left="1400"/>
    </w:pPr>
  </w:style>
  <w:style w:styleId="Style_24_ch" w:type="character">
    <w:name w:val="toc 8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4" w:type="paragraph">
    <w:name w:val="No Spacing"/>
    <w:link w:val="Style_4_ch"/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26" w:type="paragraph">
    <w:name w:val="toc 5"/>
    <w:next w:val="Style_5"/>
    <w:link w:val="Style_26_ch"/>
    <w:uiPriority w:val="39"/>
    <w:pPr>
      <w:ind w:firstLine="0" w:left="800"/>
    </w:pPr>
  </w:style>
  <w:style w:styleId="Style_26_ch" w:type="character">
    <w:name w:val="toc 5"/>
    <w:link w:val="Style_26"/>
  </w:style>
  <w:style w:styleId="Style_27" w:type="paragraph">
    <w:name w:val="Subtitle"/>
    <w:next w:val="Style_5"/>
    <w:link w:val="Style_27_ch"/>
    <w:uiPriority w:val="11"/>
    <w:qFormat/>
    <w:rPr>
      <w:rFonts w:ascii="XO Thames" w:hAnsi="XO Thames"/>
      <w:i w:val="1"/>
      <w:color w:val="616161"/>
      <w:sz w:val="24"/>
    </w:rPr>
  </w:style>
  <w:style w:styleId="Style_27_ch" w:type="character">
    <w:name w:val="Subtitle"/>
    <w:link w:val="Style_27"/>
    <w:rPr>
      <w:rFonts w:ascii="XO Thames" w:hAnsi="XO Thames"/>
      <w:i w:val="1"/>
      <w:color w:val="616161"/>
      <w:sz w:val="24"/>
    </w:rPr>
  </w:style>
  <w:style w:styleId="Style_28" w:type="paragraph">
    <w:name w:val="toc 10"/>
    <w:next w:val="Style_5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5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5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5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3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2025-12-29T08:24:29Z</dcterms:modified>
</cp:coreProperties>
</file>